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1F8DC54"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5A3B30">
        <w:t xml:space="preserve"> 2021-2022</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C9659A2" w:rsidR="00E66558" w:rsidRDefault="005A3B30">
            <w:pPr>
              <w:pStyle w:val="TableRow"/>
            </w:pPr>
            <w:r>
              <w:t>Priestsic Primary and Nursery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A84DA" w14:textId="7DB5BAA1" w:rsidR="00705E9E" w:rsidRDefault="00705E9E">
            <w:pPr>
              <w:pStyle w:val="TableRow"/>
            </w:pPr>
            <w:r>
              <w:t>407 F2 – Yr6</w:t>
            </w:r>
          </w:p>
          <w:p w14:paraId="2A7D54BC" w14:textId="5BFD7B35" w:rsidR="00E66558" w:rsidRDefault="00705E9E">
            <w:pPr>
              <w:pStyle w:val="TableRow"/>
            </w:pPr>
            <w:r>
              <w:t xml:space="preserve">  39 part time F1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CA1CD6D" w:rsidR="00E66558" w:rsidRDefault="00705E9E" w:rsidP="00705E9E">
            <w:pPr>
              <w:pStyle w:val="TableRow"/>
              <w:ind w:left="0"/>
            </w:pPr>
            <w:r>
              <w:t>41.7%  (170)</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5B09530" w:rsidR="00E66558" w:rsidRDefault="005A3B30">
            <w:pPr>
              <w:pStyle w:val="TableRow"/>
            </w:pPr>
            <w:r>
              <w:t>2021 - 2022</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8B6632A" w:rsidR="00E66558" w:rsidRDefault="005A3B30">
            <w:pPr>
              <w:pStyle w:val="TableRow"/>
            </w:pPr>
            <w: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554E46D" w:rsidR="00E66558" w:rsidRDefault="005A3B30">
            <w:pPr>
              <w:pStyle w:val="TableRow"/>
            </w:pPr>
            <w:r>
              <w:t>October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6DD1675" w:rsidR="00E66558" w:rsidRDefault="005A3B30">
            <w:pPr>
              <w:pStyle w:val="TableRow"/>
            </w:pPr>
            <w:r>
              <w:t>Sarah Stamp</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9EF9FB0" w:rsidR="00E66558" w:rsidRDefault="00F12141">
            <w:pPr>
              <w:pStyle w:val="TableRow"/>
            </w:pPr>
            <w:r>
              <w:t>Jo Small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3838B63" w:rsidR="00E66558" w:rsidRDefault="00F12141">
            <w:pPr>
              <w:pStyle w:val="TableRow"/>
            </w:pPr>
            <w:r>
              <w:t>Liz Kitts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3E66A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50EC5FC" w:rsidR="00E66558" w:rsidRPr="003E66A5" w:rsidRDefault="009D71E8" w:rsidP="00601EA7">
            <w:pPr>
              <w:pStyle w:val="TableRow"/>
            </w:pPr>
            <w:r w:rsidRPr="003E66A5">
              <w:t>£</w:t>
            </w:r>
            <w:r w:rsidR="003E66A5" w:rsidRPr="003E66A5">
              <w:t>196,370</w:t>
            </w:r>
          </w:p>
        </w:tc>
      </w:tr>
      <w:tr w:rsidR="00E66558" w14:paraId="2A7D54DC" w14:textId="77777777" w:rsidTr="003E66A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09A520F" w:rsidR="00E66558" w:rsidRPr="003E66A5" w:rsidRDefault="009D71E8">
            <w:pPr>
              <w:pStyle w:val="TableRow"/>
            </w:pPr>
            <w:r w:rsidRPr="003E66A5">
              <w:t>£</w:t>
            </w:r>
            <w:r w:rsidR="00705E9E" w:rsidRPr="003E66A5">
              <w:t>24,650</w:t>
            </w:r>
          </w:p>
        </w:tc>
      </w:tr>
      <w:tr w:rsidR="00E66558" w14:paraId="2A7D54DF" w14:textId="77777777" w:rsidTr="003E66A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40D6914" w:rsidR="00E66558" w:rsidRPr="003E66A5" w:rsidRDefault="009D71E8">
            <w:pPr>
              <w:pStyle w:val="TableRow"/>
            </w:pPr>
            <w:r w:rsidRPr="003E66A5">
              <w:t>£</w:t>
            </w:r>
            <w:r w:rsidR="005A3B30" w:rsidRPr="003E66A5">
              <w:t>0</w:t>
            </w:r>
          </w:p>
        </w:tc>
      </w:tr>
      <w:tr w:rsidR="00E66558" w14:paraId="2A7D54E3" w14:textId="77777777" w:rsidTr="003E66A5">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3CB48F3" w:rsidR="00E66558" w:rsidRPr="003E66A5" w:rsidRDefault="009D71E8">
            <w:pPr>
              <w:pStyle w:val="TableRow"/>
            </w:pPr>
            <w:r w:rsidRPr="003E66A5">
              <w:t>£</w:t>
            </w:r>
            <w:r w:rsidR="003E66A5" w:rsidRPr="003E66A5">
              <w:t>221,020 (not including school led tuition)</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77383" w14:textId="35944245" w:rsidR="002A6C10" w:rsidRPr="00EF3D61" w:rsidRDefault="002A6C10" w:rsidP="002A6C10">
            <w:pPr>
              <w:spacing w:before="100" w:beforeAutospacing="1" w:after="100" w:afterAutospacing="1"/>
              <w:ind w:right="240"/>
              <w:jc w:val="center"/>
              <w:rPr>
                <w:rFonts w:cs="Arial"/>
                <w:b/>
                <w:color w:val="0070C0"/>
                <w:sz w:val="28"/>
                <w:szCs w:val="28"/>
              </w:rPr>
            </w:pPr>
            <w:r w:rsidRPr="00EF3D61">
              <w:rPr>
                <w:rFonts w:cs="Arial"/>
                <w:b/>
                <w:color w:val="0070C0"/>
                <w:sz w:val="28"/>
                <w:szCs w:val="28"/>
              </w:rPr>
              <w:t>STATEMENT OF INTENT</w:t>
            </w:r>
          </w:p>
          <w:p w14:paraId="34038B39" w14:textId="77777777" w:rsidR="0062536B" w:rsidRDefault="0062536B" w:rsidP="000C225D">
            <w:pPr>
              <w:suppressAutoHyphens w:val="0"/>
              <w:autoSpaceDN/>
              <w:spacing w:before="100" w:beforeAutospacing="1" w:after="100" w:afterAutospacing="1" w:line="240" w:lineRule="auto"/>
              <w:ind w:right="240"/>
              <w:rPr>
                <w:sz w:val="20"/>
              </w:rPr>
            </w:pPr>
            <w:r w:rsidRPr="0062536B">
              <w:rPr>
                <w:sz w:val="20"/>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We will consider the challenges faced by vulnerable pupils, such as those who have a social worker and young carers. The activity we have outlined in this statement is also intended to support their needs, regardless of whether they are disadvantaged or not. 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Our strategy is also integral to wider school plans for education recovery, notably in its targeted support through the National Tutoring Programme for pupils whose education has been worst affected, including non-disadvantaged pupils. Our approach will be responsive to common challenges and individual needs, rooted in robust diagnostic assessment, not assumptions about the impact of disadvantage. </w:t>
            </w:r>
          </w:p>
          <w:p w14:paraId="45C2B64C" w14:textId="77777777" w:rsidR="0062536B" w:rsidRDefault="0062536B" w:rsidP="0062536B">
            <w:pPr>
              <w:suppressAutoHyphens w:val="0"/>
              <w:autoSpaceDN/>
              <w:spacing w:before="100" w:beforeAutospacing="1" w:after="100" w:afterAutospacing="1" w:line="240" w:lineRule="auto"/>
              <w:rPr>
                <w:sz w:val="20"/>
              </w:rPr>
            </w:pPr>
            <w:r w:rsidRPr="0062536B">
              <w:rPr>
                <w:sz w:val="20"/>
              </w:rPr>
              <w:t>The approaches we have adopted complement each other to help pupils excel. To ens</w:t>
            </w:r>
            <w:r>
              <w:rPr>
                <w:sz w:val="20"/>
              </w:rPr>
              <w:t>ure they are effective we will:</w:t>
            </w:r>
          </w:p>
          <w:p w14:paraId="6647F592" w14:textId="77777777" w:rsidR="0062536B" w:rsidRDefault="0062536B" w:rsidP="0062536B">
            <w:pPr>
              <w:suppressAutoHyphens w:val="0"/>
              <w:autoSpaceDN/>
              <w:spacing w:before="100" w:beforeAutospacing="1" w:after="100" w:afterAutospacing="1" w:line="240" w:lineRule="auto"/>
              <w:rPr>
                <w:sz w:val="20"/>
              </w:rPr>
            </w:pPr>
            <w:r w:rsidRPr="0062536B">
              <w:rPr>
                <w:sz w:val="20"/>
              </w:rPr>
              <w:t xml:space="preserve">• ensure disadvantaged pupils are challenged in the work that they’re set </w:t>
            </w:r>
          </w:p>
          <w:p w14:paraId="73F1DA28" w14:textId="77777777" w:rsidR="0062536B" w:rsidRDefault="0062536B" w:rsidP="0062536B">
            <w:pPr>
              <w:suppressAutoHyphens w:val="0"/>
              <w:autoSpaceDN/>
              <w:spacing w:before="100" w:beforeAutospacing="1" w:after="100" w:afterAutospacing="1" w:line="240" w:lineRule="auto"/>
              <w:rPr>
                <w:sz w:val="20"/>
              </w:rPr>
            </w:pPr>
            <w:r w:rsidRPr="0062536B">
              <w:rPr>
                <w:sz w:val="20"/>
              </w:rPr>
              <w:t xml:space="preserve">• act early to intervene at the point need is identified </w:t>
            </w:r>
          </w:p>
          <w:p w14:paraId="6118698F" w14:textId="1B1D5EF9" w:rsidR="0062536B" w:rsidRDefault="0062536B" w:rsidP="0062536B">
            <w:pPr>
              <w:suppressAutoHyphens w:val="0"/>
              <w:autoSpaceDN/>
              <w:spacing w:before="100" w:beforeAutospacing="1" w:after="100" w:afterAutospacing="1" w:line="240" w:lineRule="auto"/>
              <w:rPr>
                <w:i/>
                <w:iCs/>
              </w:rPr>
            </w:pPr>
            <w:r w:rsidRPr="0062536B">
              <w:rPr>
                <w:sz w:val="20"/>
              </w:rPr>
              <w:t>• adopt a whole school approach in which all staff take responsibility</w:t>
            </w:r>
            <w:r>
              <w:rPr>
                <w:sz w:val="20"/>
              </w:rPr>
              <w:t xml:space="preserve"> for disadvan</w:t>
            </w:r>
            <w:r w:rsidRPr="0062536B">
              <w:rPr>
                <w:sz w:val="20"/>
              </w:rPr>
              <w:t>taged pupils’ outcomes and raise expectations of what they can achieve</w:t>
            </w:r>
          </w:p>
          <w:p w14:paraId="348A2F47" w14:textId="77777777" w:rsidR="00512FAB" w:rsidRPr="00EF3D61" w:rsidRDefault="00512FAB" w:rsidP="00512FAB">
            <w:pPr>
              <w:spacing w:after="0"/>
              <w:rPr>
                <w:rFonts w:cs="Arial"/>
                <w:b/>
                <w:bCs/>
                <w:sz w:val="20"/>
                <w:szCs w:val="20"/>
              </w:rPr>
            </w:pPr>
          </w:p>
          <w:p w14:paraId="65851D4F" w14:textId="49B80AFC" w:rsidR="001A6188" w:rsidRPr="00EF3D61" w:rsidRDefault="001A6188" w:rsidP="00512FAB">
            <w:pPr>
              <w:spacing w:after="0"/>
              <w:rPr>
                <w:rFonts w:cs="Arial"/>
                <w:sz w:val="20"/>
                <w:szCs w:val="20"/>
              </w:rPr>
            </w:pPr>
            <w:r w:rsidRPr="00EF3D61">
              <w:rPr>
                <w:rFonts w:cs="Arial"/>
                <w:b/>
                <w:bCs/>
                <w:sz w:val="20"/>
                <w:szCs w:val="20"/>
              </w:rPr>
              <w:t>Principles</w:t>
            </w:r>
          </w:p>
          <w:p w14:paraId="3EC25EEE" w14:textId="49FCA83D" w:rsidR="001A6188" w:rsidRPr="00EF3D61" w:rsidRDefault="001A6188" w:rsidP="00512FAB">
            <w:pPr>
              <w:numPr>
                <w:ilvl w:val="0"/>
                <w:numId w:val="19"/>
              </w:numPr>
              <w:suppressAutoHyphens w:val="0"/>
              <w:autoSpaceDN/>
              <w:spacing w:after="0" w:line="240" w:lineRule="auto"/>
              <w:rPr>
                <w:rFonts w:cs="Arial"/>
                <w:sz w:val="20"/>
                <w:szCs w:val="20"/>
              </w:rPr>
            </w:pPr>
            <w:r w:rsidRPr="00EF3D61">
              <w:rPr>
                <w:rFonts w:cs="Arial"/>
                <w:sz w:val="20"/>
                <w:szCs w:val="20"/>
              </w:rPr>
              <w:t>We ensure that teaching and learning opportunities that meet the needs of all the pupils</w:t>
            </w:r>
          </w:p>
          <w:p w14:paraId="41C09445" w14:textId="77777777" w:rsidR="001A6188" w:rsidRPr="00EF3D61" w:rsidRDefault="001A6188" w:rsidP="00512FAB">
            <w:pPr>
              <w:numPr>
                <w:ilvl w:val="0"/>
                <w:numId w:val="19"/>
              </w:numPr>
              <w:suppressAutoHyphens w:val="0"/>
              <w:autoSpaceDN/>
              <w:spacing w:after="0" w:line="240" w:lineRule="auto"/>
              <w:rPr>
                <w:rFonts w:cs="Arial"/>
                <w:sz w:val="20"/>
                <w:szCs w:val="20"/>
              </w:rPr>
            </w:pPr>
            <w:r w:rsidRPr="00EF3D61">
              <w:rPr>
                <w:rFonts w:cs="Arial"/>
                <w:sz w:val="20"/>
                <w:szCs w:val="20"/>
              </w:rPr>
              <w:t>We ensure that appropriate provision is made for pupils who belong to vulnerable groups, this includes ensuring that the needs of socially disadvantaged pupils are adequately assessed and addressed</w:t>
            </w:r>
          </w:p>
          <w:p w14:paraId="140503AB" w14:textId="77777777" w:rsidR="001A6188" w:rsidRPr="00EF3D61" w:rsidRDefault="001A6188" w:rsidP="00512FAB">
            <w:pPr>
              <w:numPr>
                <w:ilvl w:val="0"/>
                <w:numId w:val="19"/>
              </w:numPr>
              <w:suppressAutoHyphens w:val="0"/>
              <w:autoSpaceDN/>
              <w:spacing w:after="0" w:line="240" w:lineRule="auto"/>
              <w:rPr>
                <w:rFonts w:cs="Arial"/>
                <w:sz w:val="20"/>
                <w:szCs w:val="20"/>
              </w:rPr>
            </w:pPr>
            <w:r w:rsidRPr="00EF3D61">
              <w:rPr>
                <w:rFonts w:cs="Arial"/>
                <w:sz w:val="20"/>
                <w:szCs w:val="20"/>
              </w:rPr>
              <w:t>In making provision for socially disadvantaged pupils, we recognise that not all pupils who receive free school meals will be socially disadvantaged</w:t>
            </w:r>
          </w:p>
          <w:p w14:paraId="1F6A807A" w14:textId="77777777" w:rsidR="001A6188" w:rsidRPr="00EF3D61" w:rsidRDefault="001A6188" w:rsidP="00512FAB">
            <w:pPr>
              <w:numPr>
                <w:ilvl w:val="0"/>
                <w:numId w:val="19"/>
              </w:numPr>
              <w:suppressAutoHyphens w:val="0"/>
              <w:autoSpaceDN/>
              <w:spacing w:after="0" w:line="240" w:lineRule="auto"/>
              <w:rPr>
                <w:rFonts w:cs="Arial"/>
                <w:sz w:val="20"/>
                <w:szCs w:val="20"/>
              </w:rPr>
            </w:pPr>
            <w:r w:rsidRPr="00EF3D61">
              <w:rPr>
                <w:rFonts w:cs="Arial"/>
                <w:sz w:val="20"/>
                <w:szCs w:val="20"/>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53CF9B7D" w14:textId="77777777" w:rsidR="001A6188" w:rsidRPr="00EF3D61" w:rsidRDefault="001A6188" w:rsidP="00512FAB">
            <w:pPr>
              <w:numPr>
                <w:ilvl w:val="0"/>
                <w:numId w:val="19"/>
              </w:numPr>
              <w:suppressAutoHyphens w:val="0"/>
              <w:autoSpaceDN/>
              <w:spacing w:after="0" w:line="240" w:lineRule="auto"/>
              <w:rPr>
                <w:rFonts w:cs="Arial"/>
                <w:sz w:val="20"/>
                <w:szCs w:val="20"/>
              </w:rPr>
            </w:pPr>
            <w:r w:rsidRPr="00EF3D61">
              <w:rPr>
                <w:rFonts w:cs="Arial"/>
                <w:sz w:val="20"/>
                <w:szCs w:val="20"/>
              </w:rPr>
              <w:t>Pupil premium funding will be allocated following a needs analysis which will identify priority classes, groups or individuals. Limited funding and resources means that not all children receiving free school meals will be in receipt of pupil premium interventions at one time.</w:t>
            </w:r>
          </w:p>
          <w:p w14:paraId="5AD8802E" w14:textId="47A56194" w:rsidR="002A6C10" w:rsidRPr="00EF3D61" w:rsidRDefault="002A6C10" w:rsidP="002A6C10">
            <w:pPr>
              <w:spacing w:before="100" w:beforeAutospacing="1" w:after="100" w:afterAutospacing="1"/>
              <w:ind w:right="240"/>
              <w:jc w:val="center"/>
              <w:rPr>
                <w:rFonts w:cs="Arial"/>
                <w:b/>
                <w:color w:val="0070C0"/>
                <w:sz w:val="28"/>
                <w:szCs w:val="28"/>
              </w:rPr>
            </w:pPr>
            <w:r w:rsidRPr="00EF3D61">
              <w:rPr>
                <w:rFonts w:cs="Arial"/>
                <w:b/>
                <w:color w:val="0070C0"/>
                <w:sz w:val="28"/>
                <w:szCs w:val="28"/>
              </w:rPr>
              <w:t>Ultimate Objectives:</w:t>
            </w:r>
          </w:p>
          <w:p w14:paraId="6E474AE1" w14:textId="674342A5" w:rsidR="002A6C10" w:rsidRPr="00EF3D61" w:rsidRDefault="002A6C10" w:rsidP="002A6C10">
            <w:pPr>
              <w:pStyle w:val="ListParagraph"/>
              <w:numPr>
                <w:ilvl w:val="0"/>
                <w:numId w:val="17"/>
              </w:numPr>
              <w:spacing w:before="100" w:beforeAutospacing="1" w:after="100" w:afterAutospacing="1"/>
              <w:rPr>
                <w:rFonts w:cs="Arial"/>
                <w:b/>
                <w:bCs/>
                <w:sz w:val="20"/>
                <w:szCs w:val="20"/>
              </w:rPr>
            </w:pPr>
            <w:r w:rsidRPr="00EF3D61">
              <w:rPr>
                <w:rFonts w:cs="Arial"/>
                <w:sz w:val="20"/>
                <w:szCs w:val="20"/>
              </w:rPr>
              <w:t xml:space="preserve">To narrow the attainment gap between disadvantaged and non-disadvantaged pupils by providing additional targeted support for pupils to ensure they make rapid and sustained progress, catching up on lost learning caused by the impact of the COVID-19 whole school closures.  </w:t>
            </w:r>
          </w:p>
          <w:p w14:paraId="52E6DF1C" w14:textId="3A30AFBB" w:rsidR="002A6C10" w:rsidRPr="0062536B" w:rsidRDefault="002A6C10" w:rsidP="002A6C10">
            <w:pPr>
              <w:pStyle w:val="ListParagraph"/>
              <w:numPr>
                <w:ilvl w:val="0"/>
                <w:numId w:val="17"/>
              </w:numPr>
              <w:spacing w:before="100" w:beforeAutospacing="1" w:after="100" w:afterAutospacing="1"/>
              <w:rPr>
                <w:rFonts w:cs="Arial"/>
                <w:b/>
                <w:bCs/>
                <w:sz w:val="28"/>
                <w:szCs w:val="28"/>
              </w:rPr>
            </w:pPr>
            <w:r w:rsidRPr="0062536B">
              <w:rPr>
                <w:rFonts w:cs="Arial"/>
                <w:sz w:val="20"/>
                <w:szCs w:val="20"/>
              </w:rPr>
              <w:t>For all disadvantaged pupils in school to exceed nationally expected progress rates in order to reach Age Related Expectation at the end of Year 6 and thus achieve GCSE’s in English and Maths.</w:t>
            </w:r>
          </w:p>
          <w:p w14:paraId="61AF53CB" w14:textId="1C2E06F9" w:rsidR="001A6188" w:rsidRPr="00EF3D61" w:rsidRDefault="002A6C10" w:rsidP="002A6C10">
            <w:pPr>
              <w:spacing w:before="100" w:beforeAutospacing="1" w:after="100" w:afterAutospacing="1"/>
              <w:ind w:right="240"/>
              <w:jc w:val="center"/>
              <w:rPr>
                <w:rFonts w:cs="Arial"/>
                <w:b/>
                <w:color w:val="0070C0"/>
                <w:sz w:val="28"/>
                <w:szCs w:val="28"/>
              </w:rPr>
            </w:pPr>
            <w:r w:rsidRPr="00EF3D61">
              <w:rPr>
                <w:rFonts w:cs="Arial"/>
                <w:b/>
                <w:color w:val="0070C0"/>
                <w:sz w:val="28"/>
                <w:szCs w:val="28"/>
              </w:rPr>
              <w:t>Achieving these objectives:</w:t>
            </w:r>
          </w:p>
          <w:p w14:paraId="1E2E8C5B" w14:textId="77777777" w:rsidR="001A6188" w:rsidRPr="00EF3D61" w:rsidRDefault="001A6188" w:rsidP="001A6188">
            <w:pPr>
              <w:spacing w:before="100" w:beforeAutospacing="1" w:after="100" w:afterAutospacing="1"/>
              <w:rPr>
                <w:rFonts w:cs="Arial"/>
                <w:sz w:val="20"/>
                <w:szCs w:val="20"/>
              </w:rPr>
            </w:pPr>
            <w:r w:rsidRPr="00EF3D61">
              <w:rPr>
                <w:rFonts w:cs="Arial"/>
                <w:sz w:val="20"/>
                <w:szCs w:val="20"/>
              </w:rPr>
              <w:t>The range of provision the Governors consider making for this group could include and would not be inclusive of:</w:t>
            </w:r>
          </w:p>
          <w:p w14:paraId="18A8D6C4" w14:textId="43087F60" w:rsidR="00112856" w:rsidRPr="00EF3D61" w:rsidRDefault="00112856" w:rsidP="00112856">
            <w:pPr>
              <w:numPr>
                <w:ilvl w:val="0"/>
                <w:numId w:val="18"/>
              </w:numPr>
              <w:suppressAutoHyphens w:val="0"/>
              <w:autoSpaceDN/>
              <w:spacing w:before="100" w:beforeAutospacing="1" w:after="100" w:afterAutospacing="1" w:line="240" w:lineRule="auto"/>
              <w:ind w:right="240"/>
              <w:rPr>
                <w:rFonts w:cs="Arial"/>
                <w:i/>
                <w:iCs/>
                <w:sz w:val="20"/>
                <w:szCs w:val="20"/>
              </w:rPr>
            </w:pPr>
            <w:r w:rsidRPr="00EF3D61">
              <w:rPr>
                <w:rFonts w:cs="Arial"/>
                <w:sz w:val="20"/>
                <w:szCs w:val="20"/>
              </w:rPr>
              <w:t xml:space="preserve">High quality CPD to ensure quality first teaching </w:t>
            </w:r>
          </w:p>
          <w:p w14:paraId="52DEFD34" w14:textId="581D4EFF" w:rsidR="00112856" w:rsidRPr="00EF3D61" w:rsidRDefault="00112856" w:rsidP="00112856">
            <w:pPr>
              <w:numPr>
                <w:ilvl w:val="0"/>
                <w:numId w:val="18"/>
              </w:numPr>
              <w:suppressAutoHyphens w:val="0"/>
              <w:autoSpaceDN/>
              <w:spacing w:before="100" w:beforeAutospacing="1" w:after="100" w:afterAutospacing="1" w:line="240" w:lineRule="auto"/>
              <w:ind w:right="240"/>
              <w:rPr>
                <w:rFonts w:cs="Arial"/>
                <w:i/>
                <w:iCs/>
                <w:sz w:val="20"/>
                <w:szCs w:val="20"/>
              </w:rPr>
            </w:pPr>
            <w:r w:rsidRPr="00EF3D61">
              <w:rPr>
                <w:rFonts w:cs="Arial"/>
                <w:iCs/>
                <w:sz w:val="20"/>
                <w:szCs w:val="20"/>
              </w:rPr>
              <w:t>1-1 and small group tuition using the NTP</w:t>
            </w:r>
          </w:p>
          <w:p w14:paraId="01A9BF6A" w14:textId="726F6CBB" w:rsidR="00112856" w:rsidRPr="00EF3D61" w:rsidRDefault="00112856" w:rsidP="00112856">
            <w:pPr>
              <w:numPr>
                <w:ilvl w:val="0"/>
                <w:numId w:val="18"/>
              </w:numPr>
              <w:suppressAutoHyphens w:val="0"/>
              <w:autoSpaceDN/>
              <w:spacing w:before="100" w:beforeAutospacing="1" w:after="100" w:afterAutospacing="1" w:line="240" w:lineRule="auto"/>
              <w:ind w:right="240"/>
              <w:rPr>
                <w:rFonts w:cs="Arial"/>
                <w:i/>
                <w:iCs/>
                <w:sz w:val="20"/>
                <w:szCs w:val="20"/>
              </w:rPr>
            </w:pPr>
            <w:r w:rsidRPr="00EF3D61">
              <w:rPr>
                <w:rFonts w:cs="Arial"/>
                <w:iCs/>
                <w:sz w:val="20"/>
                <w:szCs w:val="20"/>
              </w:rPr>
              <w:t xml:space="preserve">Targeted </w:t>
            </w:r>
            <w:r w:rsidR="00512FAB" w:rsidRPr="00EF3D61">
              <w:rPr>
                <w:rFonts w:cs="Arial"/>
                <w:iCs/>
                <w:sz w:val="20"/>
                <w:szCs w:val="20"/>
              </w:rPr>
              <w:t xml:space="preserve">1-1 and small group </w:t>
            </w:r>
            <w:r w:rsidRPr="00EF3D61">
              <w:rPr>
                <w:rFonts w:cs="Arial"/>
                <w:iCs/>
                <w:sz w:val="20"/>
                <w:szCs w:val="20"/>
              </w:rPr>
              <w:t xml:space="preserve">intervention </w:t>
            </w:r>
            <w:r w:rsidR="00512FAB" w:rsidRPr="00EF3D61">
              <w:rPr>
                <w:rFonts w:cs="Arial"/>
                <w:iCs/>
                <w:sz w:val="20"/>
                <w:szCs w:val="20"/>
              </w:rPr>
              <w:t xml:space="preserve">to enable “catch-up” </w:t>
            </w:r>
            <w:r w:rsidRPr="00EF3D61">
              <w:rPr>
                <w:rFonts w:cs="Arial"/>
                <w:iCs/>
                <w:sz w:val="20"/>
                <w:szCs w:val="20"/>
              </w:rPr>
              <w:t>based on needs analysis</w:t>
            </w:r>
          </w:p>
          <w:p w14:paraId="2748243F" w14:textId="3EF40327" w:rsidR="00112856" w:rsidRPr="00EF3D61" w:rsidRDefault="00112856" w:rsidP="00112856">
            <w:pPr>
              <w:numPr>
                <w:ilvl w:val="0"/>
                <w:numId w:val="18"/>
              </w:numPr>
              <w:suppressAutoHyphens w:val="0"/>
              <w:autoSpaceDN/>
              <w:spacing w:before="100" w:beforeAutospacing="1" w:after="100" w:afterAutospacing="1" w:line="240" w:lineRule="auto"/>
              <w:ind w:right="240"/>
              <w:rPr>
                <w:rFonts w:cs="Arial"/>
                <w:i/>
                <w:iCs/>
                <w:sz w:val="20"/>
                <w:szCs w:val="20"/>
              </w:rPr>
            </w:pPr>
            <w:r w:rsidRPr="00EF3D61">
              <w:rPr>
                <w:rFonts w:cs="Arial"/>
                <w:iCs/>
                <w:sz w:val="20"/>
                <w:szCs w:val="20"/>
              </w:rPr>
              <w:t>Behaviour, emotional and social support through our Priestsic Pastoral Package</w:t>
            </w:r>
            <w:r w:rsidR="00512FAB" w:rsidRPr="00EF3D61">
              <w:rPr>
                <w:rFonts w:cs="Arial"/>
                <w:iCs/>
                <w:sz w:val="20"/>
                <w:szCs w:val="20"/>
              </w:rPr>
              <w:t xml:space="preserve"> – FSW,</w:t>
            </w:r>
          </w:p>
          <w:p w14:paraId="3229BC92" w14:textId="5C6780AA" w:rsidR="00512FAB" w:rsidRPr="00EF3D61" w:rsidRDefault="00512FAB" w:rsidP="00112856">
            <w:pPr>
              <w:numPr>
                <w:ilvl w:val="0"/>
                <w:numId w:val="18"/>
              </w:numPr>
              <w:suppressAutoHyphens w:val="0"/>
              <w:autoSpaceDN/>
              <w:spacing w:before="100" w:beforeAutospacing="1" w:after="100" w:afterAutospacing="1" w:line="240" w:lineRule="auto"/>
              <w:ind w:right="240"/>
              <w:rPr>
                <w:rFonts w:cs="Arial"/>
                <w:i/>
                <w:iCs/>
                <w:sz w:val="20"/>
                <w:szCs w:val="20"/>
              </w:rPr>
            </w:pPr>
            <w:r w:rsidRPr="00EF3D61">
              <w:rPr>
                <w:rFonts w:cs="Arial"/>
                <w:iCs/>
                <w:sz w:val="20"/>
                <w:szCs w:val="20"/>
              </w:rPr>
              <w:t>Onsite counselling services to support social, emotional and mental health need. (Casy Counselling)</w:t>
            </w:r>
          </w:p>
          <w:p w14:paraId="060D18E9" w14:textId="04C4311C" w:rsidR="00512FAB" w:rsidRPr="00EF3D61" w:rsidRDefault="00512FAB" w:rsidP="00512FAB">
            <w:pPr>
              <w:numPr>
                <w:ilvl w:val="0"/>
                <w:numId w:val="18"/>
              </w:numPr>
              <w:suppressAutoHyphens w:val="0"/>
              <w:autoSpaceDN/>
              <w:spacing w:before="100" w:beforeAutospacing="1" w:after="100" w:afterAutospacing="1" w:line="240" w:lineRule="auto"/>
              <w:ind w:right="240"/>
              <w:rPr>
                <w:rFonts w:cs="Arial"/>
                <w:i/>
                <w:iCs/>
                <w:sz w:val="20"/>
                <w:szCs w:val="20"/>
              </w:rPr>
            </w:pPr>
            <w:r w:rsidRPr="00EF3D61">
              <w:rPr>
                <w:rFonts w:cs="Arial"/>
                <w:iCs/>
                <w:sz w:val="20"/>
                <w:szCs w:val="20"/>
              </w:rPr>
              <w:t xml:space="preserve">Forest schools provision to provide opportunities for resilience building, social interactions and emotional well-being ensuring children are ready to access learning. </w:t>
            </w:r>
          </w:p>
          <w:p w14:paraId="0D72A4BF" w14:textId="3D4998E7" w:rsidR="00112856" w:rsidRPr="00EF3D61" w:rsidRDefault="00112856" w:rsidP="00112856">
            <w:pPr>
              <w:numPr>
                <w:ilvl w:val="0"/>
                <w:numId w:val="18"/>
              </w:numPr>
              <w:suppressAutoHyphens w:val="0"/>
              <w:autoSpaceDN/>
              <w:spacing w:before="100" w:beforeAutospacing="1" w:after="100" w:afterAutospacing="1" w:line="240" w:lineRule="auto"/>
              <w:ind w:right="240"/>
              <w:rPr>
                <w:rFonts w:cs="Arial"/>
                <w:i/>
                <w:iCs/>
                <w:sz w:val="20"/>
                <w:szCs w:val="20"/>
              </w:rPr>
            </w:pPr>
            <w:r w:rsidRPr="00EF3D61">
              <w:rPr>
                <w:rFonts w:cs="Arial"/>
                <w:iCs/>
                <w:sz w:val="20"/>
                <w:szCs w:val="20"/>
              </w:rPr>
              <w:t>Improving attendance through the use of an attendance officer</w:t>
            </w:r>
          </w:p>
          <w:p w14:paraId="4B7B9BAD" w14:textId="6C88E940" w:rsidR="00112856" w:rsidRPr="00EF3D61" w:rsidRDefault="00112856" w:rsidP="00112856">
            <w:pPr>
              <w:numPr>
                <w:ilvl w:val="0"/>
                <w:numId w:val="18"/>
              </w:numPr>
              <w:suppressAutoHyphens w:val="0"/>
              <w:autoSpaceDN/>
              <w:spacing w:before="100" w:beforeAutospacing="1" w:after="100" w:afterAutospacing="1" w:line="240" w:lineRule="auto"/>
              <w:ind w:right="240"/>
              <w:rPr>
                <w:rFonts w:cs="Arial"/>
                <w:i/>
                <w:iCs/>
                <w:sz w:val="20"/>
                <w:szCs w:val="20"/>
              </w:rPr>
            </w:pPr>
            <w:r w:rsidRPr="00EF3D61">
              <w:rPr>
                <w:rFonts w:cs="Arial"/>
                <w:iCs/>
                <w:sz w:val="20"/>
                <w:szCs w:val="20"/>
              </w:rPr>
              <w:t>Subsidy for educational activities, experiences and residential</w:t>
            </w:r>
            <w:r w:rsidR="00512FAB" w:rsidRPr="00EF3D61">
              <w:rPr>
                <w:rFonts w:cs="Arial"/>
                <w:iCs/>
                <w:sz w:val="20"/>
                <w:szCs w:val="20"/>
              </w:rPr>
              <w:t xml:space="preserve"> visits</w:t>
            </w:r>
            <w:r w:rsidRPr="00EF3D61">
              <w:rPr>
                <w:rFonts w:cs="Arial"/>
                <w:iCs/>
                <w:sz w:val="20"/>
                <w:szCs w:val="20"/>
              </w:rPr>
              <w:t xml:space="preserve"> ensuring children have first-hand experiences to increase their cultural capital and draw upon when learning back in the classroom. </w:t>
            </w:r>
          </w:p>
          <w:p w14:paraId="517B3CCA" w14:textId="38B619D2" w:rsidR="00112856" w:rsidRPr="00EF3D61" w:rsidRDefault="00512FAB" w:rsidP="00112856">
            <w:pPr>
              <w:numPr>
                <w:ilvl w:val="0"/>
                <w:numId w:val="18"/>
              </w:numPr>
              <w:suppressAutoHyphens w:val="0"/>
              <w:autoSpaceDN/>
              <w:spacing w:before="100" w:beforeAutospacing="1" w:after="100" w:afterAutospacing="1" w:line="240" w:lineRule="auto"/>
              <w:ind w:right="240"/>
              <w:rPr>
                <w:rFonts w:cs="Arial"/>
                <w:i/>
                <w:iCs/>
                <w:sz w:val="20"/>
                <w:szCs w:val="20"/>
              </w:rPr>
            </w:pPr>
            <w:r w:rsidRPr="00EF3D61">
              <w:rPr>
                <w:rFonts w:cs="Arial"/>
                <w:iCs/>
                <w:sz w:val="20"/>
                <w:szCs w:val="20"/>
              </w:rPr>
              <w:t>Behaviour and nurture support during lunchtimes by providing activities to engage and promote the Priestsic Values and thus enhance learning.</w:t>
            </w:r>
          </w:p>
          <w:p w14:paraId="7DB28581" w14:textId="2A92DDC2" w:rsidR="00512FAB" w:rsidRPr="00EF3D61" w:rsidRDefault="00512FAB" w:rsidP="00512FAB">
            <w:pPr>
              <w:numPr>
                <w:ilvl w:val="0"/>
                <w:numId w:val="18"/>
              </w:numPr>
              <w:suppressAutoHyphens w:val="0"/>
              <w:autoSpaceDN/>
              <w:spacing w:before="100" w:beforeAutospacing="1" w:after="100" w:afterAutospacing="1" w:line="240" w:lineRule="auto"/>
              <w:ind w:right="240"/>
              <w:rPr>
                <w:rFonts w:cs="Arial"/>
                <w:i/>
                <w:iCs/>
                <w:sz w:val="20"/>
                <w:szCs w:val="20"/>
              </w:rPr>
            </w:pPr>
            <w:r w:rsidRPr="00EF3D61">
              <w:rPr>
                <w:rFonts w:cs="Arial"/>
                <w:iCs/>
                <w:sz w:val="20"/>
                <w:szCs w:val="20"/>
              </w:rPr>
              <w:t xml:space="preserve">Use of the Reading ladies to increase reading miles for those children who do not read regularly at home. </w:t>
            </w:r>
          </w:p>
          <w:p w14:paraId="2A7D54E9" w14:textId="485791F9" w:rsidR="0062536B" w:rsidRPr="0062536B" w:rsidRDefault="001A6188" w:rsidP="00112856">
            <w:pPr>
              <w:suppressAutoHyphens w:val="0"/>
              <w:autoSpaceDN/>
              <w:spacing w:before="100" w:beforeAutospacing="1" w:after="100" w:afterAutospacing="1" w:line="240" w:lineRule="auto"/>
              <w:ind w:right="240"/>
              <w:rPr>
                <w:rFonts w:cs="Arial"/>
                <w:sz w:val="20"/>
                <w:szCs w:val="20"/>
              </w:rPr>
            </w:pPr>
            <w:r w:rsidRPr="00EF3D61">
              <w:rPr>
                <w:rFonts w:cs="Arial"/>
                <w:sz w:val="20"/>
                <w:szCs w:val="20"/>
              </w:rPr>
              <w:t>This list is not exhausted and will change according to the needs and support our socially disadvantaged pupils require</w:t>
            </w:r>
            <w:r w:rsidR="00512FAB" w:rsidRPr="00EF3D61">
              <w:rPr>
                <w:rFonts w:cs="Arial"/>
                <w:sz w:val="20"/>
                <w:szCs w:val="20"/>
              </w:rPr>
              <w:t>.</w:t>
            </w:r>
          </w:p>
        </w:tc>
      </w:tr>
    </w:tbl>
    <w:p w14:paraId="2A7D54EB" w14:textId="77777777" w:rsidR="00E66558" w:rsidRDefault="009D71E8">
      <w:pPr>
        <w:pStyle w:val="Heading2"/>
        <w:spacing w:before="600"/>
      </w:pPr>
      <w:r>
        <w:t>Challenges</w:t>
      </w:r>
    </w:p>
    <w:p w14:paraId="2A7D54EC" w14:textId="63A6EB80"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F3D61"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F3D61" w:rsidRDefault="00EF3D61" w:rsidP="00EF3D61">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421A267" w:rsidR="00EF3D61" w:rsidRPr="00EF3D61" w:rsidRDefault="00D74AAD" w:rsidP="00EF3D61">
            <w:pPr>
              <w:pStyle w:val="TableRowCentered"/>
              <w:jc w:val="left"/>
              <w:rPr>
                <w:sz w:val="20"/>
              </w:rPr>
            </w:pPr>
            <w:r>
              <w:rPr>
                <w:sz w:val="20"/>
              </w:rPr>
              <w:t>Assessments, observations and discussions with pupils indicates that d</w:t>
            </w:r>
            <w:r w:rsidR="00EF3D61" w:rsidRPr="00EF3D61">
              <w:rPr>
                <w:sz w:val="20"/>
              </w:rPr>
              <w:t>isadvantaged pupils’ speech and language skills are very low on entry to Nursery. This slows their progress in many areas of learning into KS1 and beyond.</w:t>
            </w:r>
          </w:p>
        </w:tc>
      </w:tr>
      <w:tr w:rsidR="00EF3D6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45204B74" w:rsidR="00EF3D61" w:rsidRDefault="00A7219B" w:rsidP="00EF3D61">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AD06A0A" w:rsidR="00EF3D61" w:rsidRPr="00EF3D61" w:rsidRDefault="00EF3D61" w:rsidP="00EF3D61">
            <w:pPr>
              <w:spacing w:after="0"/>
              <w:rPr>
                <w:rFonts w:cs="Arial"/>
                <w:sz w:val="20"/>
                <w:szCs w:val="20"/>
                <w:highlight w:val="yellow"/>
              </w:rPr>
            </w:pPr>
            <w:r w:rsidRPr="00EF3D61">
              <w:rPr>
                <w:sz w:val="20"/>
                <w:szCs w:val="20"/>
              </w:rPr>
              <w:t>A range of social and emotional issues heightened by Covid-19 and the subsequent extended school closures are hindering the progress of our PP children.</w:t>
            </w:r>
          </w:p>
        </w:tc>
      </w:tr>
      <w:tr w:rsidR="00EF3D61"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5F564A70" w:rsidR="00EF3D61" w:rsidRDefault="00A7219B" w:rsidP="00EF3D61">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5EE7" w14:textId="77777777" w:rsidR="00EF3D61" w:rsidRDefault="00EF3D61" w:rsidP="00EF3D61">
            <w:pPr>
              <w:pStyle w:val="TableRowCentered"/>
              <w:jc w:val="left"/>
              <w:rPr>
                <w:rFonts w:cs="Arial"/>
                <w:sz w:val="20"/>
              </w:rPr>
            </w:pPr>
            <w:r w:rsidRPr="00EF3D61">
              <w:rPr>
                <w:rFonts w:cs="Arial"/>
                <w:sz w:val="20"/>
              </w:rPr>
              <w:t>A widening of learning gaps in reading, writing and mathematics for pupil premium pupils as a result of the extended school closures caused by Covid-19.</w:t>
            </w:r>
          </w:p>
          <w:p w14:paraId="48D397D6" w14:textId="77777777" w:rsidR="00791342" w:rsidRPr="00791342" w:rsidRDefault="00791342" w:rsidP="00791342">
            <w:pPr>
              <w:pStyle w:val="TableRowCentered"/>
              <w:jc w:val="left"/>
              <w:rPr>
                <w:b/>
                <w:sz w:val="20"/>
              </w:rPr>
            </w:pPr>
            <w:r w:rsidRPr="00791342">
              <w:rPr>
                <w:b/>
                <w:sz w:val="20"/>
              </w:rPr>
              <w:t>Internal school data summer 2021 shows</w:t>
            </w:r>
          </w:p>
          <w:tbl>
            <w:tblPr>
              <w:tblStyle w:val="TableGrid"/>
              <w:tblW w:w="0" w:type="auto"/>
              <w:tblInd w:w="57" w:type="dxa"/>
              <w:tblLook w:val="04A0" w:firstRow="1" w:lastRow="0" w:firstColumn="1" w:lastColumn="0" w:noHBand="0" w:noVBand="1"/>
            </w:tblPr>
            <w:tblGrid>
              <w:gridCol w:w="1185"/>
              <w:gridCol w:w="1999"/>
              <w:gridCol w:w="1856"/>
              <w:gridCol w:w="1856"/>
            </w:tblGrid>
            <w:tr w:rsidR="005669B3" w14:paraId="3C20FDBB" w14:textId="5890F5A1" w:rsidTr="00690686">
              <w:trPr>
                <w:trHeight w:val="1168"/>
              </w:trPr>
              <w:tc>
                <w:tcPr>
                  <w:tcW w:w="1185" w:type="dxa"/>
                </w:tcPr>
                <w:p w14:paraId="0882F537" w14:textId="6FDBF28C" w:rsidR="005669B3" w:rsidRDefault="005669B3" w:rsidP="00791342">
                  <w:pPr>
                    <w:pStyle w:val="TableRowCentered"/>
                    <w:ind w:left="0"/>
                    <w:jc w:val="left"/>
                    <w:rPr>
                      <w:sz w:val="20"/>
                    </w:rPr>
                  </w:pPr>
                  <w:r>
                    <w:rPr>
                      <w:sz w:val="20"/>
                    </w:rPr>
                    <w:t>Current year group:</w:t>
                  </w:r>
                </w:p>
              </w:tc>
              <w:tc>
                <w:tcPr>
                  <w:tcW w:w="1999" w:type="dxa"/>
                </w:tcPr>
                <w:p w14:paraId="2306002C" w14:textId="0EF8BE72" w:rsidR="005669B3" w:rsidRDefault="005669B3" w:rsidP="00791342">
                  <w:pPr>
                    <w:pStyle w:val="TableRowCentered"/>
                    <w:ind w:left="0"/>
                    <w:jc w:val="left"/>
                    <w:rPr>
                      <w:sz w:val="20"/>
                    </w:rPr>
                  </w:pPr>
                  <w:r>
                    <w:rPr>
                      <w:sz w:val="20"/>
                    </w:rPr>
                    <w:t>% of non-disadvantaged pupils achieving ARE combined</w:t>
                  </w:r>
                </w:p>
              </w:tc>
              <w:tc>
                <w:tcPr>
                  <w:tcW w:w="1856" w:type="dxa"/>
                </w:tcPr>
                <w:p w14:paraId="38414C83" w14:textId="6852032F" w:rsidR="005669B3" w:rsidRDefault="005669B3" w:rsidP="00791342">
                  <w:pPr>
                    <w:pStyle w:val="TableRowCentered"/>
                    <w:ind w:left="0"/>
                    <w:jc w:val="left"/>
                    <w:rPr>
                      <w:sz w:val="20"/>
                    </w:rPr>
                  </w:pPr>
                  <w:r>
                    <w:rPr>
                      <w:sz w:val="20"/>
                    </w:rPr>
                    <w:t>% of disadvantaged pupils achieving ARE combined</w:t>
                  </w:r>
                </w:p>
              </w:tc>
              <w:tc>
                <w:tcPr>
                  <w:tcW w:w="1856" w:type="dxa"/>
                </w:tcPr>
                <w:p w14:paraId="4C2C0E5C" w14:textId="7FFC1BCE" w:rsidR="005669B3" w:rsidRDefault="005669B3" w:rsidP="00791342">
                  <w:pPr>
                    <w:pStyle w:val="TableRowCentered"/>
                    <w:ind w:left="0"/>
                    <w:jc w:val="left"/>
                    <w:rPr>
                      <w:sz w:val="20"/>
                    </w:rPr>
                  </w:pPr>
                  <w:r>
                    <w:rPr>
                      <w:sz w:val="20"/>
                    </w:rPr>
                    <w:t>GAP</w:t>
                  </w:r>
                </w:p>
              </w:tc>
            </w:tr>
            <w:tr w:rsidR="005669B3" w14:paraId="1B0521F1" w14:textId="0B5657BF" w:rsidTr="00690686">
              <w:trPr>
                <w:trHeight w:val="652"/>
              </w:trPr>
              <w:tc>
                <w:tcPr>
                  <w:tcW w:w="1185" w:type="dxa"/>
                </w:tcPr>
                <w:p w14:paraId="58B2B4FE" w14:textId="1429971A" w:rsidR="005669B3" w:rsidRDefault="005669B3" w:rsidP="00791342">
                  <w:pPr>
                    <w:pStyle w:val="TableRowCentered"/>
                    <w:ind w:left="0"/>
                    <w:jc w:val="left"/>
                    <w:rPr>
                      <w:sz w:val="20"/>
                    </w:rPr>
                  </w:pPr>
                  <w:r>
                    <w:rPr>
                      <w:sz w:val="20"/>
                    </w:rPr>
                    <w:t>1</w:t>
                  </w:r>
                </w:p>
              </w:tc>
              <w:tc>
                <w:tcPr>
                  <w:tcW w:w="1999" w:type="dxa"/>
                </w:tcPr>
                <w:p w14:paraId="5AD647BE" w14:textId="0D64D18B" w:rsidR="005669B3" w:rsidRDefault="005669B3" w:rsidP="00791342">
                  <w:pPr>
                    <w:pStyle w:val="TableRowCentered"/>
                    <w:ind w:left="0"/>
                    <w:jc w:val="left"/>
                    <w:rPr>
                      <w:sz w:val="20"/>
                    </w:rPr>
                  </w:pPr>
                  <w:r>
                    <w:rPr>
                      <w:sz w:val="20"/>
                    </w:rPr>
                    <w:t>71% GLD end of FS</w:t>
                  </w:r>
                </w:p>
              </w:tc>
              <w:tc>
                <w:tcPr>
                  <w:tcW w:w="1856" w:type="dxa"/>
                </w:tcPr>
                <w:p w14:paraId="698B2B33" w14:textId="274E44AD" w:rsidR="005669B3" w:rsidRDefault="005669B3" w:rsidP="00791342">
                  <w:pPr>
                    <w:pStyle w:val="TableRowCentered"/>
                    <w:ind w:left="0"/>
                    <w:jc w:val="left"/>
                    <w:rPr>
                      <w:sz w:val="20"/>
                    </w:rPr>
                  </w:pPr>
                  <w:r>
                    <w:rPr>
                      <w:sz w:val="20"/>
                    </w:rPr>
                    <w:t>48% GLD end of FS</w:t>
                  </w:r>
                </w:p>
              </w:tc>
              <w:tc>
                <w:tcPr>
                  <w:tcW w:w="1856" w:type="dxa"/>
                </w:tcPr>
                <w:p w14:paraId="0A70FA01" w14:textId="3632CC4F" w:rsidR="005669B3" w:rsidRDefault="005669B3" w:rsidP="00791342">
                  <w:pPr>
                    <w:pStyle w:val="TableRowCentered"/>
                    <w:ind w:left="0"/>
                    <w:jc w:val="left"/>
                    <w:rPr>
                      <w:sz w:val="20"/>
                    </w:rPr>
                  </w:pPr>
                  <w:r>
                    <w:rPr>
                      <w:sz w:val="20"/>
                    </w:rPr>
                    <w:t>-23%</w:t>
                  </w:r>
                </w:p>
              </w:tc>
            </w:tr>
            <w:tr w:rsidR="005669B3" w14:paraId="7D656BF2" w14:textId="43A849C4" w:rsidTr="00690686">
              <w:trPr>
                <w:trHeight w:val="394"/>
              </w:trPr>
              <w:tc>
                <w:tcPr>
                  <w:tcW w:w="1185" w:type="dxa"/>
                </w:tcPr>
                <w:p w14:paraId="2EF3C8EF" w14:textId="214729F4" w:rsidR="005669B3" w:rsidRDefault="005669B3" w:rsidP="00791342">
                  <w:pPr>
                    <w:pStyle w:val="TableRowCentered"/>
                    <w:ind w:left="0"/>
                    <w:jc w:val="left"/>
                    <w:rPr>
                      <w:sz w:val="20"/>
                    </w:rPr>
                  </w:pPr>
                  <w:r>
                    <w:rPr>
                      <w:sz w:val="20"/>
                    </w:rPr>
                    <w:t>2</w:t>
                  </w:r>
                </w:p>
              </w:tc>
              <w:tc>
                <w:tcPr>
                  <w:tcW w:w="1999" w:type="dxa"/>
                </w:tcPr>
                <w:p w14:paraId="59703D02" w14:textId="0B0403B2" w:rsidR="005669B3" w:rsidRDefault="005669B3" w:rsidP="00791342">
                  <w:pPr>
                    <w:pStyle w:val="TableRowCentered"/>
                    <w:ind w:left="0"/>
                    <w:jc w:val="left"/>
                    <w:rPr>
                      <w:sz w:val="20"/>
                    </w:rPr>
                  </w:pPr>
                  <w:r>
                    <w:rPr>
                      <w:sz w:val="20"/>
                    </w:rPr>
                    <w:t>64%</w:t>
                  </w:r>
                </w:p>
              </w:tc>
              <w:tc>
                <w:tcPr>
                  <w:tcW w:w="1856" w:type="dxa"/>
                </w:tcPr>
                <w:p w14:paraId="41E15ACE" w14:textId="77E46BB2" w:rsidR="005669B3" w:rsidRDefault="005669B3" w:rsidP="00791342">
                  <w:pPr>
                    <w:pStyle w:val="TableRowCentered"/>
                    <w:ind w:left="0"/>
                    <w:jc w:val="left"/>
                    <w:rPr>
                      <w:sz w:val="20"/>
                    </w:rPr>
                  </w:pPr>
                  <w:r>
                    <w:rPr>
                      <w:sz w:val="20"/>
                    </w:rPr>
                    <w:t>41%</w:t>
                  </w:r>
                </w:p>
              </w:tc>
              <w:tc>
                <w:tcPr>
                  <w:tcW w:w="1856" w:type="dxa"/>
                </w:tcPr>
                <w:p w14:paraId="2A22B50D" w14:textId="0CCF23B3" w:rsidR="005669B3" w:rsidRDefault="005669B3" w:rsidP="00791342">
                  <w:pPr>
                    <w:pStyle w:val="TableRowCentered"/>
                    <w:ind w:left="0"/>
                    <w:jc w:val="left"/>
                    <w:rPr>
                      <w:sz w:val="20"/>
                    </w:rPr>
                  </w:pPr>
                  <w:r>
                    <w:rPr>
                      <w:sz w:val="20"/>
                    </w:rPr>
                    <w:t>-23%</w:t>
                  </w:r>
                </w:p>
              </w:tc>
            </w:tr>
            <w:tr w:rsidR="005669B3" w14:paraId="1120B841" w14:textId="689EF17B" w:rsidTr="00690686">
              <w:trPr>
                <w:trHeight w:val="394"/>
              </w:trPr>
              <w:tc>
                <w:tcPr>
                  <w:tcW w:w="1185" w:type="dxa"/>
                </w:tcPr>
                <w:p w14:paraId="36EB1E52" w14:textId="47963B93" w:rsidR="005669B3" w:rsidRDefault="005669B3" w:rsidP="00791342">
                  <w:pPr>
                    <w:pStyle w:val="TableRowCentered"/>
                    <w:ind w:left="0"/>
                    <w:jc w:val="left"/>
                    <w:rPr>
                      <w:sz w:val="20"/>
                    </w:rPr>
                  </w:pPr>
                  <w:r>
                    <w:rPr>
                      <w:sz w:val="20"/>
                    </w:rPr>
                    <w:t>3</w:t>
                  </w:r>
                </w:p>
              </w:tc>
              <w:tc>
                <w:tcPr>
                  <w:tcW w:w="1999" w:type="dxa"/>
                </w:tcPr>
                <w:p w14:paraId="74F70FEB" w14:textId="54EEE33F" w:rsidR="005669B3" w:rsidRDefault="005669B3" w:rsidP="00791342">
                  <w:pPr>
                    <w:pStyle w:val="TableRowCentered"/>
                    <w:ind w:left="0"/>
                    <w:jc w:val="left"/>
                    <w:rPr>
                      <w:sz w:val="20"/>
                    </w:rPr>
                  </w:pPr>
                  <w:r>
                    <w:rPr>
                      <w:sz w:val="20"/>
                    </w:rPr>
                    <w:t>68%</w:t>
                  </w:r>
                </w:p>
              </w:tc>
              <w:tc>
                <w:tcPr>
                  <w:tcW w:w="1856" w:type="dxa"/>
                </w:tcPr>
                <w:p w14:paraId="452AAC4C" w14:textId="5680A023" w:rsidR="005669B3" w:rsidRDefault="005669B3" w:rsidP="00791342">
                  <w:pPr>
                    <w:pStyle w:val="TableRowCentered"/>
                    <w:ind w:left="0"/>
                    <w:jc w:val="left"/>
                    <w:rPr>
                      <w:sz w:val="20"/>
                    </w:rPr>
                  </w:pPr>
                  <w:r>
                    <w:rPr>
                      <w:sz w:val="20"/>
                    </w:rPr>
                    <w:t>41%</w:t>
                  </w:r>
                </w:p>
              </w:tc>
              <w:tc>
                <w:tcPr>
                  <w:tcW w:w="1856" w:type="dxa"/>
                </w:tcPr>
                <w:p w14:paraId="34A2EE66" w14:textId="3EED6F30" w:rsidR="005669B3" w:rsidRDefault="005669B3" w:rsidP="00791342">
                  <w:pPr>
                    <w:pStyle w:val="TableRowCentered"/>
                    <w:ind w:left="0"/>
                    <w:jc w:val="left"/>
                    <w:rPr>
                      <w:sz w:val="20"/>
                    </w:rPr>
                  </w:pPr>
                  <w:r>
                    <w:rPr>
                      <w:sz w:val="20"/>
                    </w:rPr>
                    <w:t>-27%</w:t>
                  </w:r>
                </w:p>
              </w:tc>
            </w:tr>
            <w:tr w:rsidR="005669B3" w14:paraId="0C7B84AF" w14:textId="20961A8A" w:rsidTr="00690686">
              <w:trPr>
                <w:trHeight w:val="394"/>
              </w:trPr>
              <w:tc>
                <w:tcPr>
                  <w:tcW w:w="1185" w:type="dxa"/>
                </w:tcPr>
                <w:p w14:paraId="2F494485" w14:textId="0C869396" w:rsidR="005669B3" w:rsidRDefault="005669B3" w:rsidP="00791342">
                  <w:pPr>
                    <w:pStyle w:val="TableRowCentered"/>
                    <w:ind w:left="0"/>
                    <w:jc w:val="left"/>
                    <w:rPr>
                      <w:sz w:val="20"/>
                    </w:rPr>
                  </w:pPr>
                  <w:r>
                    <w:rPr>
                      <w:sz w:val="20"/>
                    </w:rPr>
                    <w:t>4</w:t>
                  </w:r>
                </w:p>
              </w:tc>
              <w:tc>
                <w:tcPr>
                  <w:tcW w:w="1999" w:type="dxa"/>
                </w:tcPr>
                <w:p w14:paraId="28D670EB" w14:textId="7039C499" w:rsidR="005669B3" w:rsidRDefault="005669B3" w:rsidP="00791342">
                  <w:pPr>
                    <w:pStyle w:val="TableRowCentered"/>
                    <w:ind w:left="0"/>
                    <w:jc w:val="left"/>
                    <w:rPr>
                      <w:sz w:val="20"/>
                    </w:rPr>
                  </w:pPr>
                  <w:r>
                    <w:rPr>
                      <w:sz w:val="20"/>
                    </w:rPr>
                    <w:t>38%</w:t>
                  </w:r>
                </w:p>
              </w:tc>
              <w:tc>
                <w:tcPr>
                  <w:tcW w:w="1856" w:type="dxa"/>
                </w:tcPr>
                <w:p w14:paraId="45B6AF9A" w14:textId="0E9D7339" w:rsidR="005669B3" w:rsidRDefault="005669B3" w:rsidP="00791342">
                  <w:pPr>
                    <w:pStyle w:val="TableRowCentered"/>
                    <w:ind w:left="0"/>
                    <w:jc w:val="left"/>
                    <w:rPr>
                      <w:sz w:val="20"/>
                    </w:rPr>
                  </w:pPr>
                  <w:r>
                    <w:rPr>
                      <w:sz w:val="20"/>
                    </w:rPr>
                    <w:t>23%</w:t>
                  </w:r>
                </w:p>
              </w:tc>
              <w:tc>
                <w:tcPr>
                  <w:tcW w:w="1856" w:type="dxa"/>
                </w:tcPr>
                <w:p w14:paraId="3984D99B" w14:textId="7B3B2584" w:rsidR="005669B3" w:rsidRDefault="005669B3" w:rsidP="00791342">
                  <w:pPr>
                    <w:pStyle w:val="TableRowCentered"/>
                    <w:ind w:left="0"/>
                    <w:jc w:val="left"/>
                    <w:rPr>
                      <w:sz w:val="20"/>
                    </w:rPr>
                  </w:pPr>
                  <w:r>
                    <w:rPr>
                      <w:sz w:val="20"/>
                    </w:rPr>
                    <w:t>-15%</w:t>
                  </w:r>
                </w:p>
              </w:tc>
            </w:tr>
            <w:tr w:rsidR="005669B3" w14:paraId="3047F0DB" w14:textId="7C844DDD" w:rsidTr="00690686">
              <w:trPr>
                <w:trHeight w:val="394"/>
              </w:trPr>
              <w:tc>
                <w:tcPr>
                  <w:tcW w:w="1185" w:type="dxa"/>
                </w:tcPr>
                <w:p w14:paraId="799DE9F7" w14:textId="344F4276" w:rsidR="005669B3" w:rsidRDefault="005669B3" w:rsidP="00791342">
                  <w:pPr>
                    <w:pStyle w:val="TableRowCentered"/>
                    <w:ind w:left="0"/>
                    <w:jc w:val="left"/>
                    <w:rPr>
                      <w:sz w:val="20"/>
                    </w:rPr>
                  </w:pPr>
                  <w:r>
                    <w:rPr>
                      <w:sz w:val="20"/>
                    </w:rPr>
                    <w:t>5</w:t>
                  </w:r>
                </w:p>
              </w:tc>
              <w:tc>
                <w:tcPr>
                  <w:tcW w:w="1999" w:type="dxa"/>
                </w:tcPr>
                <w:p w14:paraId="3A259201" w14:textId="1BF66E32" w:rsidR="005669B3" w:rsidRDefault="005669B3" w:rsidP="00791342">
                  <w:pPr>
                    <w:pStyle w:val="TableRowCentered"/>
                    <w:ind w:left="0"/>
                    <w:jc w:val="left"/>
                    <w:rPr>
                      <w:sz w:val="20"/>
                    </w:rPr>
                  </w:pPr>
                  <w:r>
                    <w:rPr>
                      <w:sz w:val="20"/>
                    </w:rPr>
                    <w:t>56%</w:t>
                  </w:r>
                </w:p>
              </w:tc>
              <w:tc>
                <w:tcPr>
                  <w:tcW w:w="1856" w:type="dxa"/>
                </w:tcPr>
                <w:p w14:paraId="4E5F1225" w14:textId="2691FD82" w:rsidR="005669B3" w:rsidRDefault="005669B3" w:rsidP="00791342">
                  <w:pPr>
                    <w:pStyle w:val="TableRowCentered"/>
                    <w:ind w:left="0"/>
                    <w:jc w:val="left"/>
                    <w:rPr>
                      <w:sz w:val="20"/>
                    </w:rPr>
                  </w:pPr>
                  <w:r>
                    <w:rPr>
                      <w:sz w:val="20"/>
                    </w:rPr>
                    <w:t>50%</w:t>
                  </w:r>
                </w:p>
              </w:tc>
              <w:tc>
                <w:tcPr>
                  <w:tcW w:w="1856" w:type="dxa"/>
                </w:tcPr>
                <w:p w14:paraId="7AAC2293" w14:textId="34E5AD62" w:rsidR="005669B3" w:rsidRDefault="005669B3" w:rsidP="00791342">
                  <w:pPr>
                    <w:pStyle w:val="TableRowCentered"/>
                    <w:ind w:left="0"/>
                    <w:jc w:val="left"/>
                    <w:rPr>
                      <w:sz w:val="20"/>
                    </w:rPr>
                  </w:pPr>
                  <w:r>
                    <w:rPr>
                      <w:sz w:val="20"/>
                    </w:rPr>
                    <w:t>-6%</w:t>
                  </w:r>
                </w:p>
              </w:tc>
            </w:tr>
            <w:tr w:rsidR="005669B3" w14:paraId="54864B3A" w14:textId="3C5200D0" w:rsidTr="00690686">
              <w:trPr>
                <w:trHeight w:val="394"/>
              </w:trPr>
              <w:tc>
                <w:tcPr>
                  <w:tcW w:w="1185" w:type="dxa"/>
                </w:tcPr>
                <w:p w14:paraId="52EFCC1D" w14:textId="324F67D3" w:rsidR="005669B3" w:rsidRDefault="005669B3" w:rsidP="00791342">
                  <w:pPr>
                    <w:pStyle w:val="TableRowCentered"/>
                    <w:ind w:left="0"/>
                    <w:jc w:val="left"/>
                    <w:rPr>
                      <w:sz w:val="20"/>
                    </w:rPr>
                  </w:pPr>
                  <w:r>
                    <w:rPr>
                      <w:sz w:val="20"/>
                    </w:rPr>
                    <w:t>6</w:t>
                  </w:r>
                </w:p>
              </w:tc>
              <w:tc>
                <w:tcPr>
                  <w:tcW w:w="1999" w:type="dxa"/>
                </w:tcPr>
                <w:p w14:paraId="5476441C" w14:textId="6BE8BA46" w:rsidR="005669B3" w:rsidRDefault="005669B3" w:rsidP="00791342">
                  <w:pPr>
                    <w:pStyle w:val="TableRowCentered"/>
                    <w:ind w:left="0"/>
                    <w:jc w:val="left"/>
                    <w:rPr>
                      <w:sz w:val="20"/>
                    </w:rPr>
                  </w:pPr>
                  <w:r>
                    <w:rPr>
                      <w:sz w:val="20"/>
                    </w:rPr>
                    <w:t>57%</w:t>
                  </w:r>
                </w:p>
              </w:tc>
              <w:tc>
                <w:tcPr>
                  <w:tcW w:w="1856" w:type="dxa"/>
                </w:tcPr>
                <w:p w14:paraId="581FBC43" w14:textId="0429AD29" w:rsidR="005669B3" w:rsidRDefault="005669B3" w:rsidP="00791342">
                  <w:pPr>
                    <w:pStyle w:val="TableRowCentered"/>
                    <w:ind w:left="0"/>
                    <w:jc w:val="left"/>
                    <w:rPr>
                      <w:sz w:val="20"/>
                    </w:rPr>
                  </w:pPr>
                  <w:r>
                    <w:rPr>
                      <w:sz w:val="20"/>
                    </w:rPr>
                    <w:t>41%</w:t>
                  </w:r>
                </w:p>
              </w:tc>
              <w:tc>
                <w:tcPr>
                  <w:tcW w:w="1856" w:type="dxa"/>
                </w:tcPr>
                <w:p w14:paraId="30F6039B" w14:textId="3C92F30F" w:rsidR="005669B3" w:rsidRDefault="005669B3" w:rsidP="00791342">
                  <w:pPr>
                    <w:pStyle w:val="TableRowCentered"/>
                    <w:ind w:left="0"/>
                    <w:jc w:val="left"/>
                    <w:rPr>
                      <w:sz w:val="20"/>
                    </w:rPr>
                  </w:pPr>
                  <w:r>
                    <w:rPr>
                      <w:sz w:val="20"/>
                    </w:rPr>
                    <w:t>-16%</w:t>
                  </w:r>
                </w:p>
              </w:tc>
            </w:tr>
          </w:tbl>
          <w:p w14:paraId="7851A388" w14:textId="30D0FFEE" w:rsidR="00791342" w:rsidRPr="00D67EBA" w:rsidRDefault="00791342" w:rsidP="00791342">
            <w:pPr>
              <w:pStyle w:val="TableRowCentered"/>
              <w:jc w:val="left"/>
              <w:rPr>
                <w:sz w:val="20"/>
              </w:rPr>
            </w:pPr>
          </w:p>
          <w:p w14:paraId="2A7D54FA" w14:textId="06B8BCC4" w:rsidR="00791342" w:rsidRPr="00EF3D61" w:rsidRDefault="00791342" w:rsidP="00791342">
            <w:pPr>
              <w:pStyle w:val="TableRowCentered"/>
              <w:ind w:left="0"/>
              <w:jc w:val="left"/>
              <w:rPr>
                <w:iCs/>
                <w:sz w:val="20"/>
              </w:rPr>
            </w:pPr>
          </w:p>
        </w:tc>
      </w:tr>
      <w:tr w:rsidR="00EF3D61" w14:paraId="177C9BE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01055" w14:textId="42A53118" w:rsidR="00EF3D61" w:rsidRDefault="00A7219B" w:rsidP="00EF3D61">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F4EBF" w14:textId="4C3C9E45" w:rsidR="00EF3D61" w:rsidRPr="00EF3D61" w:rsidRDefault="00EF3D61" w:rsidP="00382EF4">
            <w:pPr>
              <w:pStyle w:val="TableRowCentered"/>
              <w:jc w:val="left"/>
              <w:rPr>
                <w:rFonts w:cs="Arial"/>
                <w:sz w:val="20"/>
              </w:rPr>
            </w:pPr>
            <w:r w:rsidRPr="00EF3D61">
              <w:rPr>
                <w:sz w:val="20"/>
              </w:rPr>
              <w:t xml:space="preserve">Disadvantaged pupils’ attendance was </w:t>
            </w:r>
            <w:r w:rsidR="00735105" w:rsidRPr="00382EF4">
              <w:rPr>
                <w:sz w:val="20"/>
              </w:rPr>
              <w:t>92.1%</w:t>
            </w:r>
            <w:r w:rsidRPr="00382EF4">
              <w:rPr>
                <w:sz w:val="20"/>
              </w:rPr>
              <w:t xml:space="preserve"> in 2020-2021. This reduces their school hours and can cause them to fall behind their peers. (</w:t>
            </w:r>
            <w:r w:rsidR="00382EF4" w:rsidRPr="00382EF4">
              <w:rPr>
                <w:sz w:val="20"/>
              </w:rPr>
              <w:t>Data measured from 2.9.20 – 28.7.1</w:t>
            </w:r>
            <w:r w:rsidRPr="00382EF4">
              <w:rPr>
                <w:sz w:val="20"/>
              </w:rPr>
              <w:t>)</w:t>
            </w:r>
          </w:p>
        </w:tc>
      </w:tr>
      <w:tr w:rsidR="00EF3D61" w14:paraId="0290752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5AE56" w14:textId="5DB0D4BC" w:rsidR="00EF3D61" w:rsidRDefault="00A7219B" w:rsidP="00EF3D6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D350" w14:textId="65C0A1ED" w:rsidR="00EF3D61" w:rsidRPr="00843239" w:rsidRDefault="000E4861" w:rsidP="00735105">
            <w:pPr>
              <w:pStyle w:val="TableRowCentered"/>
              <w:jc w:val="left"/>
              <w:rPr>
                <w:rFonts w:cs="Arial"/>
                <w:sz w:val="20"/>
              </w:rPr>
            </w:pPr>
            <w:r w:rsidRPr="00843239">
              <w:rPr>
                <w:sz w:val="20"/>
              </w:rPr>
              <w:t xml:space="preserve">Disadvantaged pupils have limited experience and knowledge of their own community and the wider world. This has a significant impact on their vocabulary, comprehension skills and ability to be creative writers that is required to access the curriculum and achieve age related expectations.  </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21DC567" w:rsidR="00E66558" w:rsidRPr="000C225D" w:rsidRDefault="00791342">
            <w:pPr>
              <w:pStyle w:val="TableRow"/>
              <w:rPr>
                <w:sz w:val="20"/>
                <w:szCs w:val="20"/>
              </w:rPr>
            </w:pPr>
            <w:r w:rsidRPr="000C225D">
              <w:rPr>
                <w:sz w:val="20"/>
                <w:szCs w:val="20"/>
              </w:rPr>
              <w:t>Improve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3BDF4AA" w:rsidR="00E66558" w:rsidRPr="000C225D" w:rsidRDefault="00791342" w:rsidP="005F14DA">
            <w:pPr>
              <w:pStyle w:val="TableRowCentered"/>
              <w:jc w:val="left"/>
              <w:rPr>
                <w:sz w:val="20"/>
              </w:rPr>
            </w:pPr>
            <w:r w:rsidRPr="000C225D">
              <w:rPr>
                <w:sz w:val="20"/>
              </w:rPr>
              <w:t xml:space="preserve">Assessments and observations </w:t>
            </w:r>
            <w:r w:rsidR="005F14DA">
              <w:rPr>
                <w:sz w:val="20"/>
              </w:rPr>
              <w:t xml:space="preserve">evidence </w:t>
            </w:r>
            <w:r w:rsidRPr="000C225D">
              <w:rPr>
                <w:sz w:val="20"/>
              </w:rPr>
              <w:t xml:space="preserve">significantly improved oral language among disadvantaged pupils. This is </w:t>
            </w:r>
            <w:r w:rsidR="005F14DA">
              <w:rPr>
                <w:sz w:val="20"/>
              </w:rPr>
              <w:t>shown</w:t>
            </w:r>
            <w:r w:rsidRPr="000C225D">
              <w:rPr>
                <w:sz w:val="20"/>
              </w:rPr>
              <w:t xml:space="preserve"> when triangulated with other sources of evidence, including engagement in lessons, book scrutiny and ongoing formative assessments.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D058AC0" w:rsidR="00E66558" w:rsidRPr="000C225D" w:rsidRDefault="001F5BED">
            <w:pPr>
              <w:pStyle w:val="TableRow"/>
              <w:rPr>
                <w:sz w:val="20"/>
                <w:szCs w:val="20"/>
              </w:rPr>
            </w:pPr>
            <w:r w:rsidRPr="000C225D">
              <w:rPr>
                <w:sz w:val="20"/>
                <w:szCs w:val="20"/>
              </w:rPr>
              <w:t xml:space="preserve">To achieve and sustain improved wellbeing for all our pupils in our school, particularly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3C1E" w14:textId="3739A878" w:rsidR="001F5BED" w:rsidRPr="000C225D" w:rsidRDefault="001F5BED">
            <w:pPr>
              <w:pStyle w:val="TableRowCentered"/>
              <w:jc w:val="left"/>
              <w:rPr>
                <w:sz w:val="20"/>
              </w:rPr>
            </w:pPr>
            <w:r w:rsidRPr="000C225D">
              <w:rPr>
                <w:sz w:val="20"/>
              </w:rPr>
              <w:t xml:space="preserve">Sustained high levels of wellbeing from </w:t>
            </w:r>
            <w:r w:rsidR="00A7219B">
              <w:rPr>
                <w:sz w:val="20"/>
              </w:rPr>
              <w:t>October 2022</w:t>
            </w:r>
            <w:r w:rsidRPr="000C225D">
              <w:rPr>
                <w:sz w:val="20"/>
              </w:rPr>
              <w:t xml:space="preserve"> demonstrated by:</w:t>
            </w:r>
          </w:p>
          <w:p w14:paraId="3577AAA1" w14:textId="77777777" w:rsidR="001F5BED" w:rsidRPr="000C225D" w:rsidRDefault="001F5BED" w:rsidP="001F5BED">
            <w:pPr>
              <w:pStyle w:val="TableRowCentered"/>
              <w:jc w:val="left"/>
              <w:rPr>
                <w:sz w:val="20"/>
              </w:rPr>
            </w:pPr>
            <w:r w:rsidRPr="000C225D">
              <w:rPr>
                <w:sz w:val="20"/>
              </w:rPr>
              <w:t>-qualitative data from pupil voice, pupil and parent surveys and teacher observations</w:t>
            </w:r>
          </w:p>
          <w:p w14:paraId="50162D7D" w14:textId="77777777" w:rsidR="001F5BED" w:rsidRPr="000C225D" w:rsidRDefault="001F5BED" w:rsidP="001F5BED">
            <w:pPr>
              <w:pStyle w:val="TableRowCentered"/>
              <w:jc w:val="left"/>
              <w:rPr>
                <w:sz w:val="20"/>
              </w:rPr>
            </w:pPr>
            <w:r w:rsidRPr="000C225D">
              <w:rPr>
                <w:sz w:val="20"/>
              </w:rPr>
              <w:t>-a significant reduction in the number of disruptive behaviour incidents logged on CPOMS</w:t>
            </w:r>
          </w:p>
          <w:p w14:paraId="2A7D5508" w14:textId="028C9E39" w:rsidR="00E66558" w:rsidRPr="000C225D" w:rsidRDefault="001F5BED" w:rsidP="001F5BED">
            <w:pPr>
              <w:pStyle w:val="TableRowCentered"/>
              <w:jc w:val="left"/>
              <w:rPr>
                <w:sz w:val="20"/>
              </w:rPr>
            </w:pPr>
            <w:r w:rsidRPr="000C225D">
              <w:rPr>
                <w:sz w:val="20"/>
              </w:rPr>
              <w:t xml:space="preserve">-individual case study reports for identify pupils and their families.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1F817AD" w:rsidR="00E66558" w:rsidRPr="000C225D" w:rsidRDefault="001F5BED">
            <w:pPr>
              <w:pStyle w:val="TableRow"/>
              <w:rPr>
                <w:sz w:val="20"/>
                <w:szCs w:val="20"/>
              </w:rPr>
            </w:pPr>
            <w:r w:rsidRPr="000C225D">
              <w:rPr>
                <w:sz w:val="20"/>
                <w:szCs w:val="20"/>
              </w:rPr>
              <w:t xml:space="preserve">Improve the combined attainment for disadvantaged pupils at the end of each key stage.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5A730" w14:textId="6156929A" w:rsidR="001F5BED" w:rsidRPr="000C225D" w:rsidRDefault="001F5BED" w:rsidP="001F5BED">
            <w:pPr>
              <w:pStyle w:val="TableRowCentered"/>
              <w:jc w:val="left"/>
              <w:rPr>
                <w:sz w:val="20"/>
              </w:rPr>
            </w:pPr>
            <w:r w:rsidRPr="000C225D">
              <w:rPr>
                <w:sz w:val="20"/>
              </w:rPr>
              <w:t xml:space="preserve">FS2, KS1 and KS2 combined outcomes in </w:t>
            </w:r>
            <w:r w:rsidR="005F14DA">
              <w:rPr>
                <w:sz w:val="20"/>
              </w:rPr>
              <w:t>October 2022</w:t>
            </w:r>
            <w:r w:rsidRPr="000C225D">
              <w:rPr>
                <w:sz w:val="20"/>
              </w:rPr>
              <w:t xml:space="preserve"> show more than 60% of disadvantaged pupil met the expected standard. </w:t>
            </w:r>
          </w:p>
          <w:p w14:paraId="2A7D550B" w14:textId="044B4B55" w:rsidR="00E66558" w:rsidRPr="000C225D" w:rsidRDefault="001F5BED" w:rsidP="001F5BED">
            <w:pPr>
              <w:pStyle w:val="TableRowCentered"/>
              <w:jc w:val="left"/>
              <w:rPr>
                <w:sz w:val="20"/>
              </w:rPr>
            </w:pPr>
            <w:r w:rsidRPr="000C225D">
              <w:rPr>
                <w:sz w:val="20"/>
              </w:rPr>
              <w:t>(In 2019 the national average for all pupils was 65% with an average gap of 2.91% for disadvantaged pupils)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050F658" w:rsidR="00E66558" w:rsidRPr="000C225D" w:rsidRDefault="001F5BED">
            <w:pPr>
              <w:pStyle w:val="TableRow"/>
              <w:rPr>
                <w:sz w:val="20"/>
                <w:szCs w:val="20"/>
              </w:rPr>
            </w:pPr>
            <w:r w:rsidRPr="000C225D">
              <w:rPr>
                <w:sz w:val="20"/>
                <w:szCs w:val="20"/>
              </w:rPr>
              <w:t xml:space="preserve">To achieve and sustain improved attendance for all pupils, particularly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6AA" w14:textId="670AC4DE" w:rsidR="008A30B1" w:rsidRDefault="008A30B1">
            <w:pPr>
              <w:pStyle w:val="TableRowCentered"/>
              <w:jc w:val="left"/>
              <w:rPr>
                <w:sz w:val="20"/>
              </w:rPr>
            </w:pPr>
            <w:r w:rsidRPr="000C225D">
              <w:rPr>
                <w:sz w:val="20"/>
              </w:rPr>
              <w:t>Sustai</w:t>
            </w:r>
            <w:r w:rsidR="00A7219B">
              <w:rPr>
                <w:sz w:val="20"/>
              </w:rPr>
              <w:t>ned high attendance from October 2022</w:t>
            </w:r>
            <w:r w:rsidRPr="000C225D">
              <w:rPr>
                <w:sz w:val="20"/>
              </w:rPr>
              <w:t xml:space="preserve"> demonstrated by:</w:t>
            </w:r>
          </w:p>
          <w:p w14:paraId="7FEDD15D" w14:textId="77777777" w:rsidR="00923044" w:rsidRPr="00923044" w:rsidRDefault="00923044" w:rsidP="00923044">
            <w:pPr>
              <w:rPr>
                <w:rFonts w:cstheme="minorHAnsi"/>
                <w:sz w:val="20"/>
                <w:szCs w:val="20"/>
              </w:rPr>
            </w:pPr>
            <w:r w:rsidRPr="00923044">
              <w:rPr>
                <w:rFonts w:cstheme="minorHAnsi"/>
                <w:sz w:val="20"/>
                <w:szCs w:val="20"/>
              </w:rPr>
              <w:t xml:space="preserve">Improved attendance and punctuality in targeted children to at least 95%. </w:t>
            </w:r>
          </w:p>
          <w:p w14:paraId="6185CC0E" w14:textId="19462CCF" w:rsidR="00923044" w:rsidRPr="00923044" w:rsidRDefault="00923044" w:rsidP="00923044">
            <w:pPr>
              <w:rPr>
                <w:rFonts w:eastAsiaTheme="minorHAnsi" w:cstheme="minorHAnsi"/>
                <w:color w:val="auto"/>
                <w:sz w:val="20"/>
                <w:szCs w:val="20"/>
                <w:lang w:eastAsia="en-US"/>
              </w:rPr>
            </w:pPr>
            <w:r w:rsidRPr="00923044">
              <w:rPr>
                <w:rFonts w:cstheme="minorHAnsi"/>
                <w:sz w:val="20"/>
                <w:szCs w:val="20"/>
              </w:rPr>
              <w:t xml:space="preserve">Persistent absenteeism for PP pupils is reduced from the 2019 figure of 25.1% (measured from 2.9.20 </w:t>
            </w:r>
            <w:r w:rsidR="00A7219B">
              <w:rPr>
                <w:rFonts w:cstheme="minorHAnsi"/>
                <w:sz w:val="20"/>
                <w:szCs w:val="20"/>
              </w:rPr>
              <w:t>– 14.2.20 due to COVID 19) to 16</w:t>
            </w:r>
            <w:r w:rsidRPr="00923044">
              <w:rPr>
                <w:rFonts w:cstheme="minorHAnsi"/>
                <w:sz w:val="20"/>
                <w:szCs w:val="20"/>
              </w:rPr>
              <w:t xml:space="preserve">%.  </w:t>
            </w:r>
          </w:p>
          <w:p w14:paraId="2A7D550E" w14:textId="61154AFF" w:rsidR="00E66558" w:rsidRPr="000C225D" w:rsidRDefault="00E66558">
            <w:pPr>
              <w:pStyle w:val="TableRowCentered"/>
              <w:jc w:val="left"/>
              <w:rPr>
                <w:sz w:val="20"/>
              </w:rPr>
            </w:pPr>
          </w:p>
        </w:tc>
      </w:tr>
      <w:tr w:rsidR="008A30B1" w14:paraId="02D9920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9AC4" w14:textId="54FEA5C0" w:rsidR="008A30B1" w:rsidRPr="000C225D" w:rsidRDefault="008A30B1" w:rsidP="008A30B1">
            <w:pPr>
              <w:pStyle w:val="TableRow"/>
              <w:rPr>
                <w:sz w:val="20"/>
                <w:szCs w:val="20"/>
              </w:rPr>
            </w:pPr>
            <w:r w:rsidRPr="000C225D">
              <w:rPr>
                <w:sz w:val="20"/>
                <w:szCs w:val="20"/>
              </w:rPr>
              <w:t>To improve disadvantaged pupils’ experience and knowledge of their own community and the wider world.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5D0BB" w14:textId="77777777" w:rsidR="008A30B1" w:rsidRPr="000C225D" w:rsidRDefault="008A30B1">
            <w:pPr>
              <w:pStyle w:val="TableRowCentered"/>
              <w:jc w:val="left"/>
              <w:rPr>
                <w:sz w:val="20"/>
              </w:rPr>
            </w:pPr>
            <w:r w:rsidRPr="000C225D">
              <w:rPr>
                <w:sz w:val="20"/>
              </w:rPr>
              <w:t>Long term curriculum plans show planned opportunities for authentic experiences within the local community and wider world.</w:t>
            </w:r>
          </w:p>
          <w:p w14:paraId="0B1C9868" w14:textId="0283548A" w:rsidR="008A30B1" w:rsidRPr="000C225D" w:rsidRDefault="008A30B1">
            <w:pPr>
              <w:pStyle w:val="TableRowCentered"/>
              <w:jc w:val="left"/>
              <w:rPr>
                <w:sz w:val="20"/>
              </w:rPr>
            </w:pPr>
            <w:r w:rsidRPr="000C225D">
              <w:rPr>
                <w:sz w:val="20"/>
              </w:rPr>
              <w:t xml:space="preserve">Increase in comprehension skills evident by the percentage of pupils achieving ARE in reading are in line with </w:t>
            </w:r>
            <w:r w:rsidR="00A7219B">
              <w:rPr>
                <w:sz w:val="20"/>
              </w:rPr>
              <w:t>national expectations by October 2022</w:t>
            </w:r>
            <w:r w:rsidRPr="000C225D">
              <w:rPr>
                <w:sz w:val="20"/>
              </w:rPr>
              <w:t xml:space="preserve">. </w:t>
            </w:r>
          </w:p>
          <w:p w14:paraId="319A2DBE" w14:textId="65608BDC" w:rsidR="008A30B1" w:rsidRPr="000C225D" w:rsidRDefault="008A30B1">
            <w:pPr>
              <w:pStyle w:val="TableRowCentered"/>
              <w:jc w:val="left"/>
              <w:rPr>
                <w:sz w:val="20"/>
              </w:rPr>
            </w:pPr>
            <w:r w:rsidRPr="000C225D">
              <w:rPr>
                <w:sz w:val="20"/>
              </w:rPr>
              <w:t>Percentage of pupils achieving ARE in writing is in line with na</w:t>
            </w:r>
            <w:r w:rsidR="00A7219B">
              <w:rPr>
                <w:sz w:val="20"/>
              </w:rPr>
              <w:t>tional expectations by October 2022.</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E00B4A7" w:rsidR="00E66558" w:rsidRPr="008A30B1" w:rsidRDefault="008A30B1">
      <w:pPr>
        <w:rPr>
          <w:b/>
        </w:rPr>
      </w:pPr>
      <w:r w:rsidRPr="008A30B1">
        <w:rPr>
          <w:b/>
        </w:rPr>
        <w:t>Budgeted co</w:t>
      </w:r>
      <w:r w:rsidR="00690686">
        <w:rPr>
          <w:b/>
        </w:rPr>
        <w:t>st: £73,558 (33</w:t>
      </w:r>
      <w:r w:rsidRPr="008A30B1">
        <w:rPr>
          <w:b/>
        </w:rPr>
        <w:t>% of budget)</w:t>
      </w:r>
    </w:p>
    <w:tbl>
      <w:tblPr>
        <w:tblW w:w="5000" w:type="pct"/>
        <w:tblCellMar>
          <w:left w:w="10" w:type="dxa"/>
          <w:right w:w="10" w:type="dxa"/>
        </w:tblCellMar>
        <w:tblLook w:val="04A0" w:firstRow="1" w:lastRow="0" w:firstColumn="1" w:lastColumn="0" w:noHBand="0" w:noVBand="1"/>
      </w:tblPr>
      <w:tblGrid>
        <w:gridCol w:w="2102"/>
        <w:gridCol w:w="5367"/>
        <w:gridCol w:w="2017"/>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rsidRPr="007E42DA"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F75D0" w14:textId="77777777" w:rsidR="002C4067" w:rsidRPr="007E42DA" w:rsidRDefault="002C4067" w:rsidP="002C4067">
            <w:pPr>
              <w:rPr>
                <w:rFonts w:cs="Arial"/>
                <w:b/>
                <w:sz w:val="20"/>
                <w:szCs w:val="20"/>
                <w:u w:val="single"/>
              </w:rPr>
            </w:pPr>
            <w:r w:rsidRPr="007E42DA">
              <w:rPr>
                <w:rFonts w:cs="Arial"/>
                <w:b/>
                <w:sz w:val="20"/>
                <w:szCs w:val="20"/>
                <w:u w:val="single"/>
              </w:rPr>
              <w:t>Professional Development – coaching programme</w:t>
            </w:r>
          </w:p>
          <w:p w14:paraId="3177A13A" w14:textId="77777777" w:rsidR="002C4067" w:rsidRPr="007E42DA" w:rsidRDefault="002C4067" w:rsidP="002C4067">
            <w:pPr>
              <w:rPr>
                <w:rFonts w:cs="Arial"/>
                <w:sz w:val="20"/>
                <w:szCs w:val="20"/>
              </w:rPr>
            </w:pPr>
            <w:r w:rsidRPr="007E42DA">
              <w:rPr>
                <w:rFonts w:cs="Arial"/>
                <w:sz w:val="20"/>
                <w:szCs w:val="20"/>
              </w:rPr>
              <w:t>Deputy Headteacher x 2 days per week</w:t>
            </w:r>
          </w:p>
          <w:p w14:paraId="29B2B111" w14:textId="77777777" w:rsidR="00001AD1" w:rsidRPr="007E42DA" w:rsidRDefault="002C4067" w:rsidP="002C4067">
            <w:pPr>
              <w:pStyle w:val="TableRow"/>
              <w:rPr>
                <w:rFonts w:cs="Arial"/>
                <w:sz w:val="20"/>
                <w:szCs w:val="20"/>
              </w:rPr>
            </w:pPr>
            <w:r w:rsidRPr="007E42DA">
              <w:rPr>
                <w:rFonts w:cs="Arial"/>
                <w:sz w:val="20"/>
                <w:szCs w:val="20"/>
              </w:rPr>
              <w:t>Focus on improving the standard of quality first teaching through a programme of coaching and support across KS2.</w:t>
            </w:r>
          </w:p>
          <w:p w14:paraId="2A7D551A" w14:textId="1D398EDB" w:rsidR="00E66558" w:rsidRPr="007E42DA" w:rsidRDefault="00F342D7" w:rsidP="002C4067">
            <w:pPr>
              <w:pStyle w:val="TableRow"/>
              <w:rPr>
                <w:rFonts w:cs="Arial"/>
                <w:b/>
                <w:sz w:val="20"/>
                <w:szCs w:val="20"/>
              </w:rPr>
            </w:pPr>
            <w:r>
              <w:rPr>
                <w:rFonts w:cs="Arial"/>
                <w:b/>
                <w:sz w:val="20"/>
                <w:szCs w:val="20"/>
              </w:rPr>
              <w:t>£31,945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B5241" w14:textId="70628449" w:rsidR="00110FEF" w:rsidRDefault="00110FEF" w:rsidP="0091727F">
            <w:pPr>
              <w:pStyle w:val="TableRowCentered"/>
              <w:jc w:val="left"/>
              <w:rPr>
                <w:rFonts w:cs="Arial"/>
                <w:color w:val="auto"/>
                <w:sz w:val="20"/>
                <w:shd w:val="clear" w:color="auto" w:fill="FFFFFF"/>
              </w:rPr>
            </w:pPr>
            <w:r w:rsidRPr="00110FEF">
              <w:rPr>
                <w:rFonts w:cs="Arial"/>
                <w:color w:val="auto"/>
                <w:sz w:val="20"/>
                <w:shd w:val="clear" w:color="auto" w:fill="FFFFFF"/>
              </w:rPr>
              <w:t>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p>
          <w:p w14:paraId="0E79E300" w14:textId="75C69C9D" w:rsidR="00110FEF" w:rsidRPr="00110FEF" w:rsidRDefault="00C23ABE" w:rsidP="0091727F">
            <w:pPr>
              <w:pStyle w:val="TableRowCentered"/>
              <w:jc w:val="left"/>
              <w:rPr>
                <w:rFonts w:cs="Arial"/>
                <w:color w:val="auto"/>
                <w:sz w:val="20"/>
              </w:rPr>
            </w:pPr>
            <w:hyperlink r:id="rId10" w:history="1">
              <w:r w:rsidR="00110FEF" w:rsidRPr="006362E1">
                <w:rPr>
                  <w:rStyle w:val="Hyperlink"/>
                  <w:rFonts w:cs="Arial"/>
                  <w:sz w:val="20"/>
                </w:rPr>
                <w:t>https://educationendowmentfoundation.org.uk/support-for-schools/school-improvement-planning/1-high-quality-teaching</w:t>
              </w:r>
            </w:hyperlink>
            <w:r w:rsidR="00110FEF">
              <w:rPr>
                <w:rFonts w:cs="Arial"/>
                <w:color w:val="auto"/>
                <w:sz w:val="20"/>
              </w:rPr>
              <w:t xml:space="preserve"> </w:t>
            </w:r>
          </w:p>
          <w:p w14:paraId="4E374812" w14:textId="7D38C35A" w:rsidR="0091727F" w:rsidRPr="00D67EBA" w:rsidRDefault="0091727F" w:rsidP="0091727F">
            <w:pPr>
              <w:pStyle w:val="TableRowCentered"/>
              <w:jc w:val="left"/>
              <w:rPr>
                <w:sz w:val="20"/>
              </w:rPr>
            </w:pPr>
            <w:r w:rsidRPr="00D67EBA">
              <w:rPr>
                <w:sz w:val="20"/>
              </w:rPr>
              <w:t>High quality staff CPD is essential to follow EEF principles. This is followed up during</w:t>
            </w:r>
            <w:r w:rsidR="00D67EBA" w:rsidRPr="00D67EBA">
              <w:rPr>
                <w:sz w:val="20"/>
              </w:rPr>
              <w:t xml:space="preserve"> coaching sessions, s</w:t>
            </w:r>
            <w:r w:rsidRPr="00D67EBA">
              <w:rPr>
                <w:sz w:val="20"/>
              </w:rPr>
              <w:t>taff meetings and INSET</w:t>
            </w:r>
            <w:r w:rsidR="00D67EBA" w:rsidRPr="00D67EBA">
              <w:rPr>
                <w:sz w:val="20"/>
              </w:rPr>
              <w:t xml:space="preserve"> days</w:t>
            </w:r>
            <w:r w:rsidRPr="00D67EBA">
              <w:rPr>
                <w:sz w:val="20"/>
              </w:rPr>
              <w:t xml:space="preserve">. We are </w:t>
            </w:r>
            <w:r w:rsidR="00D67EBA" w:rsidRPr="00D67EBA">
              <w:rPr>
                <w:sz w:val="20"/>
              </w:rPr>
              <w:t xml:space="preserve">also </w:t>
            </w:r>
            <w:r w:rsidRPr="00D67EBA">
              <w:rPr>
                <w:sz w:val="20"/>
              </w:rPr>
              <w:t xml:space="preserve">part of the Southwell Minster Maths Hub and access CPD </w:t>
            </w:r>
            <w:r w:rsidRPr="005F3A95">
              <w:rPr>
                <w:sz w:val="20"/>
              </w:rPr>
              <w:t>through the Flying High English Hub.</w:t>
            </w:r>
          </w:p>
          <w:p w14:paraId="15B68E1A" w14:textId="77777777" w:rsidR="0091727F" w:rsidRPr="00D67EBA" w:rsidRDefault="0091727F" w:rsidP="0091727F">
            <w:pPr>
              <w:pStyle w:val="TableRowCentered"/>
              <w:jc w:val="left"/>
              <w:rPr>
                <w:sz w:val="20"/>
              </w:rPr>
            </w:pPr>
          </w:p>
          <w:p w14:paraId="2A7D551B" w14:textId="54DEC6A9" w:rsidR="00E66558" w:rsidRPr="00D67EBA" w:rsidRDefault="00E66558" w:rsidP="00D74AAD">
            <w:pPr>
              <w:pStyle w:val="TableRowCentered"/>
              <w:ind w:left="0"/>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7E1782D" w:rsidR="00E66558" w:rsidRPr="007E42DA" w:rsidRDefault="00A7219B">
            <w:pPr>
              <w:pStyle w:val="TableRowCentered"/>
              <w:jc w:val="left"/>
              <w:rPr>
                <w:rFonts w:cs="Arial"/>
                <w:sz w:val="20"/>
              </w:rPr>
            </w:pPr>
            <w:r>
              <w:rPr>
                <w:rFonts w:cs="Arial"/>
                <w:sz w:val="20"/>
              </w:rPr>
              <w:t>3</w:t>
            </w:r>
            <w:r w:rsidR="00AD1778">
              <w:rPr>
                <w:rFonts w:cs="Arial"/>
                <w:sz w:val="20"/>
              </w:rPr>
              <w:t xml:space="preserve"> </w:t>
            </w:r>
          </w:p>
        </w:tc>
      </w:tr>
      <w:tr w:rsidR="00E66558" w:rsidRPr="007E42DA"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C4619" w14:textId="77777777" w:rsidR="00001AD1" w:rsidRPr="007E42DA" w:rsidRDefault="00001AD1" w:rsidP="00001AD1">
            <w:pPr>
              <w:rPr>
                <w:rFonts w:cs="Arial"/>
                <w:b/>
                <w:sz w:val="20"/>
                <w:szCs w:val="20"/>
                <w:u w:val="single"/>
              </w:rPr>
            </w:pPr>
            <w:r w:rsidRPr="007E42DA">
              <w:rPr>
                <w:rFonts w:cs="Arial"/>
                <w:b/>
                <w:sz w:val="20"/>
                <w:szCs w:val="20"/>
                <w:u w:val="single"/>
              </w:rPr>
              <w:t>Professional Development – coaching programme</w:t>
            </w:r>
          </w:p>
          <w:p w14:paraId="4FAA330E" w14:textId="77777777" w:rsidR="00001AD1" w:rsidRPr="007E42DA" w:rsidRDefault="00001AD1" w:rsidP="00001AD1">
            <w:pPr>
              <w:rPr>
                <w:rFonts w:cs="Arial"/>
                <w:sz w:val="20"/>
                <w:szCs w:val="20"/>
              </w:rPr>
            </w:pPr>
            <w:r w:rsidRPr="007E42DA">
              <w:rPr>
                <w:rFonts w:cs="Arial"/>
                <w:sz w:val="20"/>
                <w:szCs w:val="20"/>
              </w:rPr>
              <w:t>Deputy Headteacher x 1.5 days per week</w:t>
            </w:r>
          </w:p>
          <w:p w14:paraId="6B1FD6C5" w14:textId="77777777" w:rsidR="00001AD1" w:rsidRPr="007E42DA" w:rsidRDefault="00001AD1" w:rsidP="00001AD1">
            <w:pPr>
              <w:pStyle w:val="TableRow"/>
              <w:rPr>
                <w:rFonts w:cs="Arial"/>
                <w:sz w:val="20"/>
                <w:szCs w:val="20"/>
              </w:rPr>
            </w:pPr>
            <w:r w:rsidRPr="007E42DA">
              <w:rPr>
                <w:rFonts w:cs="Arial"/>
                <w:sz w:val="20"/>
                <w:szCs w:val="20"/>
              </w:rPr>
              <w:t>Focus on improving the standard of quality first teaching through a programme of coaching and support across KS1.</w:t>
            </w:r>
          </w:p>
          <w:p w14:paraId="2A7D551E" w14:textId="3E05D87E" w:rsidR="00E66558" w:rsidRPr="007E42DA" w:rsidRDefault="00F342D7" w:rsidP="00001AD1">
            <w:pPr>
              <w:pStyle w:val="TableRow"/>
              <w:rPr>
                <w:rFonts w:cs="Arial"/>
                <w:b/>
                <w:i/>
                <w:sz w:val="20"/>
                <w:szCs w:val="20"/>
              </w:rPr>
            </w:pPr>
            <w:r>
              <w:rPr>
                <w:rFonts w:cs="Arial"/>
                <w:b/>
                <w:color w:val="auto"/>
                <w:sz w:val="20"/>
                <w:szCs w:val="20"/>
              </w:rPr>
              <w:t>£25,349</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BA96" w14:textId="77777777" w:rsidR="00110FEF" w:rsidRDefault="00110FEF" w:rsidP="00110FEF">
            <w:pPr>
              <w:pStyle w:val="TableRowCentered"/>
              <w:jc w:val="left"/>
              <w:rPr>
                <w:rFonts w:cs="Arial"/>
                <w:color w:val="auto"/>
                <w:sz w:val="20"/>
                <w:shd w:val="clear" w:color="auto" w:fill="FFFFFF"/>
              </w:rPr>
            </w:pPr>
            <w:r w:rsidRPr="00110FEF">
              <w:rPr>
                <w:rFonts w:cs="Arial"/>
                <w:color w:val="auto"/>
                <w:sz w:val="20"/>
                <w:shd w:val="clear" w:color="auto" w:fill="FFFFFF"/>
              </w:rPr>
              <w:t>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p>
          <w:p w14:paraId="31E7F8C4" w14:textId="77777777" w:rsidR="00110FEF" w:rsidRPr="00110FEF" w:rsidRDefault="00C23ABE" w:rsidP="00110FEF">
            <w:pPr>
              <w:pStyle w:val="TableRowCentered"/>
              <w:jc w:val="left"/>
              <w:rPr>
                <w:rFonts w:cs="Arial"/>
                <w:color w:val="auto"/>
                <w:sz w:val="20"/>
              </w:rPr>
            </w:pPr>
            <w:hyperlink r:id="rId11" w:history="1">
              <w:r w:rsidR="00110FEF" w:rsidRPr="006362E1">
                <w:rPr>
                  <w:rStyle w:val="Hyperlink"/>
                  <w:rFonts w:cs="Arial"/>
                  <w:sz w:val="20"/>
                </w:rPr>
                <w:t>https://educationendowmentfoundation.org.uk/support-for-schools/school-improvement-planning/1-high-quality-teaching</w:t>
              </w:r>
            </w:hyperlink>
            <w:r w:rsidR="00110FEF">
              <w:rPr>
                <w:rFonts w:cs="Arial"/>
                <w:color w:val="auto"/>
                <w:sz w:val="20"/>
              </w:rPr>
              <w:t xml:space="preserve"> </w:t>
            </w:r>
          </w:p>
          <w:p w14:paraId="40865398" w14:textId="77777777" w:rsidR="00110FEF" w:rsidRDefault="00110FEF" w:rsidP="00110FEF">
            <w:pPr>
              <w:pStyle w:val="TableRowCentered"/>
              <w:jc w:val="left"/>
              <w:rPr>
                <w:sz w:val="20"/>
              </w:rPr>
            </w:pPr>
          </w:p>
          <w:p w14:paraId="43D24AB5" w14:textId="56DEE865" w:rsidR="00AF75CE" w:rsidRPr="00D67EBA" w:rsidRDefault="00AF75CE" w:rsidP="00110FEF">
            <w:pPr>
              <w:pStyle w:val="TableRowCentered"/>
              <w:jc w:val="left"/>
              <w:rPr>
                <w:sz w:val="20"/>
              </w:rPr>
            </w:pPr>
            <w:r w:rsidRPr="00D67EBA">
              <w:rPr>
                <w:sz w:val="20"/>
              </w:rPr>
              <w:t>High quality staff CPD is essential to follow EEF principles. This is followed up during coaching sessions, staff meetings and INSET days. We are also part of the Southwell Minster Maths Hub and access CPD through the Flying High English Hub.</w:t>
            </w:r>
          </w:p>
          <w:p w14:paraId="7588CA35" w14:textId="77777777" w:rsidR="00AF75CE" w:rsidRPr="00D67EBA" w:rsidRDefault="00AF75CE" w:rsidP="00AF75CE">
            <w:pPr>
              <w:pStyle w:val="TableRowCentered"/>
              <w:jc w:val="left"/>
              <w:rPr>
                <w:sz w:val="20"/>
              </w:rPr>
            </w:pPr>
          </w:p>
          <w:p w14:paraId="2A7D551F" w14:textId="77777777" w:rsidR="00E66558" w:rsidRPr="007E42DA" w:rsidRDefault="00E66558" w:rsidP="00791342">
            <w:pPr>
              <w:pStyle w:val="TableRowCentered"/>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B605937" w:rsidR="00E66558" w:rsidRPr="007E42DA" w:rsidRDefault="00A7219B">
            <w:pPr>
              <w:pStyle w:val="TableRowCentered"/>
              <w:jc w:val="left"/>
              <w:rPr>
                <w:rFonts w:cs="Arial"/>
                <w:sz w:val="20"/>
              </w:rPr>
            </w:pPr>
            <w:r>
              <w:rPr>
                <w:rFonts w:cs="Arial"/>
                <w:sz w:val="20"/>
              </w:rPr>
              <w:t>3</w:t>
            </w:r>
            <w:r w:rsidR="00F12141">
              <w:rPr>
                <w:rFonts w:cs="Arial"/>
                <w:sz w:val="20"/>
              </w:rPr>
              <w:t xml:space="preserve"> </w:t>
            </w:r>
          </w:p>
        </w:tc>
      </w:tr>
      <w:tr w:rsidR="00001AD1" w:rsidRPr="007E42DA" w14:paraId="26D92A2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E06C1" w14:textId="109CE7B0" w:rsidR="00001AD1" w:rsidRPr="007E42DA" w:rsidRDefault="00001AD1" w:rsidP="00001AD1">
            <w:pPr>
              <w:pBdr>
                <w:top w:val="nil"/>
                <w:left w:val="nil"/>
                <w:bottom w:val="nil"/>
                <w:right w:val="nil"/>
                <w:between w:val="nil"/>
              </w:pBdr>
              <w:rPr>
                <w:rFonts w:cs="Arial"/>
                <w:b/>
                <w:bCs/>
                <w:color w:val="000000" w:themeColor="text1"/>
                <w:sz w:val="20"/>
                <w:szCs w:val="20"/>
                <w:u w:val="single"/>
              </w:rPr>
            </w:pPr>
            <w:r w:rsidRPr="007E42DA">
              <w:rPr>
                <w:rFonts w:cs="Arial"/>
                <w:b/>
                <w:bCs/>
                <w:color w:val="000000" w:themeColor="text1"/>
                <w:sz w:val="20"/>
                <w:szCs w:val="20"/>
                <w:u w:val="single"/>
              </w:rPr>
              <w:t xml:space="preserve">Supporting Great Teaching: National College Subscription </w:t>
            </w:r>
          </w:p>
          <w:p w14:paraId="24308E92" w14:textId="77777777" w:rsidR="00001AD1" w:rsidRPr="007E42DA" w:rsidRDefault="00001AD1" w:rsidP="00001AD1">
            <w:pPr>
              <w:shd w:val="clear" w:color="auto" w:fill="FFFFFF"/>
              <w:rPr>
                <w:rFonts w:cs="Arial"/>
                <w:b/>
                <w:color w:val="auto"/>
                <w:sz w:val="20"/>
                <w:szCs w:val="20"/>
              </w:rPr>
            </w:pPr>
            <w:r w:rsidRPr="008A30B1">
              <w:rPr>
                <w:rFonts w:cs="Arial"/>
                <w:b/>
                <w:color w:val="auto"/>
                <w:sz w:val="20"/>
                <w:szCs w:val="20"/>
              </w:rPr>
              <w:t>£1245 for the year</w:t>
            </w:r>
          </w:p>
          <w:p w14:paraId="45ED9163" w14:textId="77777777" w:rsidR="00001AD1" w:rsidRPr="007E42DA" w:rsidRDefault="00001AD1" w:rsidP="00001AD1">
            <w:pPr>
              <w:shd w:val="clear" w:color="auto" w:fill="FFFFFF"/>
              <w:rPr>
                <w:rFonts w:cs="Arial"/>
                <w:color w:val="000000"/>
                <w:sz w:val="20"/>
                <w:szCs w:val="20"/>
              </w:rPr>
            </w:pPr>
          </w:p>
          <w:p w14:paraId="129A5646" w14:textId="20017123" w:rsidR="00001AD1" w:rsidRPr="007E42DA" w:rsidRDefault="00001AD1" w:rsidP="00001AD1">
            <w:pPr>
              <w:pStyle w:val="TableRow"/>
              <w:rPr>
                <w:rFonts w:cs="Arial"/>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B8765" w14:textId="77777777" w:rsidR="00FE79C2" w:rsidRPr="007E42DA" w:rsidRDefault="00FE79C2" w:rsidP="00FE79C2">
            <w:pPr>
              <w:pStyle w:val="NormalWeb"/>
              <w:shd w:val="clear" w:color="auto" w:fill="FFFFFF"/>
              <w:spacing w:before="0" w:beforeAutospacing="0" w:after="0" w:afterAutospacing="0"/>
              <w:rPr>
                <w:rFonts w:ascii="Arial" w:hAnsi="Arial" w:cs="Arial"/>
                <w:color w:val="000000"/>
                <w:sz w:val="20"/>
                <w:szCs w:val="20"/>
              </w:rPr>
            </w:pPr>
            <w:r w:rsidRPr="007E42DA">
              <w:rPr>
                <w:rFonts w:ascii="Arial" w:hAnsi="Arial" w:cs="Arial"/>
                <w:bCs/>
                <w:color w:val="000000" w:themeColor="text1"/>
                <w:sz w:val="20"/>
                <w:szCs w:val="20"/>
              </w:rPr>
              <w:t xml:space="preserve">All staff have access to high level CPD </w:t>
            </w:r>
            <w:r w:rsidRPr="007E42DA">
              <w:rPr>
                <w:rFonts w:ascii="Arial" w:hAnsi="Arial" w:cs="Arial"/>
                <w:color w:val="000000"/>
                <w:sz w:val="20"/>
                <w:szCs w:val="20"/>
              </w:rPr>
              <w:t>that is relevant to their individual needs. They will be able to access all webinars and courses remotely, anywhere, anytime, on any device.</w:t>
            </w:r>
          </w:p>
          <w:p w14:paraId="5A8618EA" w14:textId="77777777" w:rsidR="00FE79C2" w:rsidRPr="007E42DA" w:rsidRDefault="00FE79C2" w:rsidP="00FE79C2">
            <w:pPr>
              <w:shd w:val="clear" w:color="auto" w:fill="FFFFFF"/>
              <w:rPr>
                <w:rFonts w:cs="Arial"/>
                <w:color w:val="000000"/>
                <w:sz w:val="20"/>
                <w:szCs w:val="20"/>
              </w:rPr>
            </w:pPr>
            <w:r w:rsidRPr="007E42DA">
              <w:rPr>
                <w:rFonts w:cs="Arial"/>
                <w:color w:val="000000"/>
                <w:sz w:val="20"/>
                <w:szCs w:val="20"/>
              </w:rPr>
              <w:t> </w:t>
            </w:r>
          </w:p>
          <w:p w14:paraId="6576A013" w14:textId="6FA67E06" w:rsidR="00FE79C2" w:rsidRPr="007E42DA" w:rsidRDefault="00FE79C2" w:rsidP="00FE79C2">
            <w:pPr>
              <w:shd w:val="clear" w:color="auto" w:fill="FFFFFF"/>
              <w:rPr>
                <w:rFonts w:cs="Arial"/>
                <w:color w:val="000000"/>
                <w:sz w:val="20"/>
                <w:szCs w:val="20"/>
              </w:rPr>
            </w:pPr>
            <w:r w:rsidRPr="007E42DA">
              <w:rPr>
                <w:rFonts w:cs="Arial"/>
                <w:color w:val="000000"/>
                <w:sz w:val="20"/>
                <w:szCs w:val="20"/>
              </w:rPr>
              <w:t>Teachers have a thorough understanding of the “</w:t>
            </w:r>
            <w:r>
              <w:rPr>
                <w:rFonts w:cs="Arial"/>
                <w:color w:val="000000"/>
                <w:sz w:val="20"/>
                <w:szCs w:val="20"/>
              </w:rPr>
              <w:t>Recovery</w:t>
            </w:r>
            <w:r w:rsidRPr="007E42DA">
              <w:rPr>
                <w:rFonts w:cs="Arial"/>
                <w:color w:val="000000"/>
                <w:sz w:val="20"/>
                <w:szCs w:val="20"/>
              </w:rPr>
              <w:t>” programme and can access a range of opportunities for professional development to help pupils make up for lost teaching time and reducing pupil attainment gaps.</w:t>
            </w:r>
          </w:p>
          <w:p w14:paraId="45EC7918" w14:textId="77777777" w:rsidR="00001AD1" w:rsidRPr="007E42DA" w:rsidRDefault="00001AD1" w:rsidP="00001AD1">
            <w:pPr>
              <w:pStyle w:val="TableRowCentered"/>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7A5E" w14:textId="53484F7A" w:rsidR="00001AD1" w:rsidRPr="007E42DA" w:rsidRDefault="00A7219B" w:rsidP="00F12141">
            <w:pPr>
              <w:pStyle w:val="TableRowCentered"/>
              <w:jc w:val="left"/>
              <w:rPr>
                <w:rFonts w:cs="Arial"/>
                <w:sz w:val="20"/>
              </w:rPr>
            </w:pPr>
            <w:r>
              <w:rPr>
                <w:rFonts w:cs="Arial"/>
                <w:sz w:val="20"/>
              </w:rPr>
              <w:t>1,2,3</w:t>
            </w:r>
            <w:r w:rsidR="00AD1778">
              <w:rPr>
                <w:rFonts w:cs="Arial"/>
                <w:sz w:val="20"/>
              </w:rPr>
              <w:t xml:space="preserve"> </w:t>
            </w:r>
          </w:p>
        </w:tc>
      </w:tr>
      <w:tr w:rsidR="00001AD1" w:rsidRPr="007E42DA" w14:paraId="7B9751D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A66F" w14:textId="79BFED9C" w:rsidR="00001AD1" w:rsidRPr="007E42DA" w:rsidRDefault="00001AD1" w:rsidP="00001AD1">
            <w:pPr>
              <w:rPr>
                <w:rFonts w:cs="Arial"/>
                <w:b/>
                <w:sz w:val="20"/>
                <w:szCs w:val="20"/>
                <w:u w:val="single"/>
              </w:rPr>
            </w:pPr>
            <w:r w:rsidRPr="007E42DA">
              <w:rPr>
                <w:rFonts w:cs="Arial"/>
                <w:b/>
                <w:sz w:val="20"/>
                <w:szCs w:val="20"/>
                <w:u w:val="single"/>
              </w:rPr>
              <w:t>Speech and Language TA 2.5 day per week.</w:t>
            </w:r>
          </w:p>
          <w:p w14:paraId="57B0AC31" w14:textId="42F58CCA" w:rsidR="00001AD1" w:rsidRPr="007E42DA" w:rsidRDefault="00001AD1" w:rsidP="00001AD1">
            <w:pPr>
              <w:rPr>
                <w:rFonts w:cs="Arial"/>
                <w:sz w:val="20"/>
                <w:szCs w:val="20"/>
              </w:rPr>
            </w:pPr>
            <w:r w:rsidRPr="007E42DA">
              <w:rPr>
                <w:rFonts w:cs="Arial"/>
                <w:sz w:val="20"/>
                <w:szCs w:val="20"/>
              </w:rPr>
              <w:t xml:space="preserve">Use the Language Link assessment system to screen all children on entry to FS2 and establish bespoke SALT to improve communication and language skills through the use of the Nuffield Early Language principles. </w:t>
            </w:r>
          </w:p>
          <w:p w14:paraId="612708EF" w14:textId="7E3ED937" w:rsidR="00001AD1" w:rsidRPr="008A30B1" w:rsidRDefault="00F342D7" w:rsidP="00001AD1">
            <w:pPr>
              <w:rPr>
                <w:rFonts w:cs="Arial"/>
                <w:b/>
                <w:sz w:val="20"/>
                <w:szCs w:val="20"/>
              </w:rPr>
            </w:pPr>
            <w:r>
              <w:rPr>
                <w:rFonts w:cs="Arial"/>
                <w:b/>
                <w:sz w:val="20"/>
                <w:szCs w:val="20"/>
              </w:rPr>
              <w:t>£14,644</w:t>
            </w:r>
            <w:r w:rsidR="00001AD1" w:rsidRPr="008A30B1">
              <w:rPr>
                <w:rFonts w:cs="Arial"/>
                <w:b/>
                <w:sz w:val="20"/>
                <w:szCs w:val="20"/>
              </w:rPr>
              <w:t xml:space="preserve"> – SALT TA</w:t>
            </w:r>
          </w:p>
          <w:p w14:paraId="348C0E5A" w14:textId="41E3D9B8" w:rsidR="00001AD1" w:rsidRPr="00AF75CE" w:rsidRDefault="00001AD1" w:rsidP="00001AD1">
            <w:pPr>
              <w:rPr>
                <w:rFonts w:cs="Arial"/>
                <w:b/>
                <w:sz w:val="16"/>
                <w:szCs w:val="20"/>
              </w:rPr>
            </w:pPr>
            <w:r w:rsidRPr="008A30B1">
              <w:rPr>
                <w:rFonts w:cs="Arial"/>
                <w:b/>
                <w:sz w:val="20"/>
                <w:szCs w:val="20"/>
              </w:rPr>
              <w:t>£375 – language link subscription.</w:t>
            </w:r>
            <w:r w:rsidRPr="00AF75CE">
              <w:rPr>
                <w:rFonts w:cs="Arial"/>
                <w:b/>
                <w:sz w:val="20"/>
                <w:szCs w:val="20"/>
              </w:rPr>
              <w:t xml:space="preserve"> </w:t>
            </w:r>
            <w:r w:rsidR="00AF75CE" w:rsidRPr="00AF75CE">
              <w:rPr>
                <w:sz w:val="20"/>
              </w:rPr>
              <w:t xml:space="preserve">To screen all children on entry </w:t>
            </w:r>
            <w:r w:rsidR="00AF75CE">
              <w:rPr>
                <w:sz w:val="20"/>
              </w:rPr>
              <w:t xml:space="preserve">to F2 </w:t>
            </w:r>
            <w:r w:rsidR="00AF75CE" w:rsidRPr="00AF75CE">
              <w:rPr>
                <w:sz w:val="20"/>
              </w:rPr>
              <w:t xml:space="preserve">and </w:t>
            </w:r>
            <w:r w:rsidR="00AF75CE">
              <w:rPr>
                <w:sz w:val="20"/>
              </w:rPr>
              <w:t xml:space="preserve">ensure identified children are targeted for speech and language intervention. </w:t>
            </w:r>
          </w:p>
          <w:p w14:paraId="743341B4" w14:textId="43B12CE8" w:rsidR="00001AD1" w:rsidRPr="007E42DA" w:rsidRDefault="00001AD1" w:rsidP="00001AD1">
            <w:pPr>
              <w:pStyle w:val="TableRow"/>
              <w:rPr>
                <w:rFonts w:cs="Arial"/>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0FC6B" w14:textId="77777777" w:rsidR="005C16B5" w:rsidRDefault="005C16B5" w:rsidP="00001AD1">
            <w:pPr>
              <w:pStyle w:val="TableRowCentered"/>
              <w:jc w:val="left"/>
              <w:rPr>
                <w:sz w:val="20"/>
              </w:rPr>
            </w:pPr>
            <w:r w:rsidRPr="00110FEF">
              <w:rPr>
                <w:sz w:val="20"/>
              </w:rPr>
              <w:t xml:space="preserve">There is a strong evidence base that suggests oral language interventions, including dialogic activities such as high-quality classroom discussion, are inexpensive to implement with high impacts on reading: </w:t>
            </w:r>
            <w:hyperlink r:id="rId12" w:history="1">
              <w:r w:rsidRPr="006362E1">
                <w:rPr>
                  <w:rStyle w:val="Hyperlink"/>
                  <w:sz w:val="20"/>
                </w:rPr>
                <w:t>https://educationendowmentfoundation.org.uk/education-evidence/teaching-learning-toolkit/oral-language-interventions</w:t>
              </w:r>
            </w:hyperlink>
            <w:r>
              <w:rPr>
                <w:sz w:val="20"/>
              </w:rPr>
              <w:t xml:space="preserve">  </w:t>
            </w:r>
          </w:p>
          <w:p w14:paraId="5772CA2A" w14:textId="358E794D" w:rsidR="00AF75CE" w:rsidRDefault="00D67EBA" w:rsidP="005C16B5">
            <w:pPr>
              <w:pStyle w:val="TableRowCentered"/>
              <w:ind w:left="0"/>
              <w:jc w:val="left"/>
              <w:rPr>
                <w:sz w:val="20"/>
              </w:rPr>
            </w:pPr>
            <w:r>
              <w:rPr>
                <w:rFonts w:cs="Arial"/>
                <w:sz w:val="20"/>
              </w:rPr>
              <w:t>O</w:t>
            </w:r>
            <w:r w:rsidRPr="00D67EBA">
              <w:rPr>
                <w:sz w:val="20"/>
              </w:rPr>
              <w:t xml:space="preserve">n entry to Reception, most children have low Language and </w:t>
            </w:r>
            <w:r w:rsidR="00AF75CE">
              <w:rPr>
                <w:sz w:val="20"/>
              </w:rPr>
              <w:t>Communication skills – 88</w:t>
            </w:r>
            <w:r w:rsidRPr="00D67EBA">
              <w:rPr>
                <w:sz w:val="20"/>
              </w:rPr>
              <w:t>% of disadvantaged children are working</w:t>
            </w:r>
            <w:r w:rsidR="00AF75CE">
              <w:rPr>
                <w:sz w:val="20"/>
              </w:rPr>
              <w:t xml:space="preserve"> below age related expectations on entry to F2. </w:t>
            </w:r>
          </w:p>
          <w:p w14:paraId="62F21CE7" w14:textId="77777777" w:rsidR="00824073" w:rsidRDefault="00824073" w:rsidP="00001AD1">
            <w:pPr>
              <w:pStyle w:val="TableRowCentered"/>
              <w:jc w:val="left"/>
              <w:rPr>
                <w:sz w:val="20"/>
              </w:rPr>
            </w:pPr>
          </w:p>
          <w:p w14:paraId="73E94AF6" w14:textId="00687A72" w:rsidR="00D67EBA" w:rsidRDefault="005C16B5" w:rsidP="00AF75CE">
            <w:pPr>
              <w:pStyle w:val="TableRowCentered"/>
              <w:jc w:val="left"/>
              <w:rPr>
                <w:sz w:val="20"/>
              </w:rPr>
            </w:pPr>
            <w:r w:rsidRPr="005C16B5">
              <w:rPr>
                <w:sz w:val="20"/>
              </w:rPr>
              <w:t>57</w:t>
            </w:r>
            <w:r w:rsidR="00AF75CE" w:rsidRPr="005C16B5">
              <w:rPr>
                <w:sz w:val="20"/>
              </w:rPr>
              <w:t>%</w:t>
            </w:r>
            <w:r w:rsidRPr="005C16B5">
              <w:rPr>
                <w:sz w:val="20"/>
              </w:rPr>
              <w:t xml:space="preserve"> of </w:t>
            </w:r>
            <w:r>
              <w:rPr>
                <w:sz w:val="20"/>
              </w:rPr>
              <w:t xml:space="preserve">all </w:t>
            </w:r>
            <w:r w:rsidRPr="005C16B5">
              <w:rPr>
                <w:sz w:val="20"/>
              </w:rPr>
              <w:t>pupils</w:t>
            </w:r>
            <w:r w:rsidR="00AF75CE" w:rsidRPr="005C16B5">
              <w:rPr>
                <w:sz w:val="20"/>
              </w:rPr>
              <w:t xml:space="preserve"> are in the </w:t>
            </w:r>
            <w:r w:rsidR="00D67EBA" w:rsidRPr="005C16B5">
              <w:rPr>
                <w:sz w:val="20"/>
              </w:rPr>
              <w:t>30-</w:t>
            </w:r>
            <w:r w:rsidRPr="005C16B5">
              <w:rPr>
                <w:sz w:val="20"/>
              </w:rPr>
              <w:t>50/ 22-36 month age band</w:t>
            </w:r>
            <w:r>
              <w:rPr>
                <w:sz w:val="20"/>
              </w:rPr>
              <w:t xml:space="preserve"> on entry</w:t>
            </w:r>
            <w:r w:rsidRPr="005C16B5">
              <w:rPr>
                <w:sz w:val="20"/>
              </w:rPr>
              <w:t xml:space="preserve"> with 33</w:t>
            </w:r>
            <w:r w:rsidR="00D67EBA" w:rsidRPr="005C16B5">
              <w:rPr>
                <w:sz w:val="20"/>
              </w:rPr>
              <w:t xml:space="preserve">% of disadvantaged children working significantly below in </w:t>
            </w:r>
            <w:r w:rsidRPr="005C16B5">
              <w:rPr>
                <w:sz w:val="20"/>
              </w:rPr>
              <w:t>8-20/</w:t>
            </w:r>
            <w:r w:rsidR="00D67EBA" w:rsidRPr="005C16B5">
              <w:rPr>
                <w:sz w:val="20"/>
              </w:rPr>
              <w:t>16</w:t>
            </w:r>
            <w:r w:rsidRPr="005C16B5">
              <w:rPr>
                <w:sz w:val="20"/>
              </w:rPr>
              <w:t xml:space="preserve">-26 or </w:t>
            </w:r>
            <w:r w:rsidR="00D67EBA" w:rsidRPr="005C16B5">
              <w:rPr>
                <w:sz w:val="20"/>
              </w:rPr>
              <w:t xml:space="preserve">22-36 month age band. </w:t>
            </w:r>
          </w:p>
          <w:p w14:paraId="14A5915C" w14:textId="77777777" w:rsidR="00D67EBA" w:rsidRDefault="00D67EBA" w:rsidP="00001AD1">
            <w:pPr>
              <w:pStyle w:val="TableRowCentered"/>
              <w:jc w:val="left"/>
              <w:rPr>
                <w:sz w:val="20"/>
              </w:rPr>
            </w:pPr>
          </w:p>
          <w:p w14:paraId="2C258B63" w14:textId="77777777" w:rsidR="00D67EBA" w:rsidRDefault="00D67EBA" w:rsidP="000F2F63">
            <w:pPr>
              <w:pStyle w:val="TableRowCentered"/>
              <w:ind w:left="0"/>
              <w:jc w:val="left"/>
              <w:rPr>
                <w:sz w:val="20"/>
              </w:rPr>
            </w:pPr>
          </w:p>
          <w:p w14:paraId="20640B46" w14:textId="77777777" w:rsidR="00AF75CE" w:rsidRDefault="00D67EBA" w:rsidP="00001AD1">
            <w:pPr>
              <w:pStyle w:val="TableRowCentered"/>
              <w:jc w:val="left"/>
              <w:rPr>
                <w:sz w:val="20"/>
              </w:rPr>
            </w:pPr>
            <w:r w:rsidRPr="00D67EBA">
              <w:rPr>
                <w:sz w:val="20"/>
              </w:rPr>
              <w:t xml:space="preserve">Due to and poor socio-economic and disadvantaged upbringing, children are unlikely to have the breadth of vocabulary, knowledge and skills required that ‘typical’ Reception children have. In KS1 and KS2, children are unlikely to use talk to connect ideas and explain what is happening coherently. </w:t>
            </w:r>
          </w:p>
          <w:p w14:paraId="75DD1A68" w14:textId="77777777" w:rsidR="00AF75CE" w:rsidRDefault="00AF75CE" w:rsidP="00001AD1">
            <w:pPr>
              <w:pStyle w:val="TableRowCentered"/>
              <w:jc w:val="left"/>
              <w:rPr>
                <w:sz w:val="20"/>
              </w:rPr>
            </w:pPr>
          </w:p>
          <w:p w14:paraId="64BB4763" w14:textId="77D65E46" w:rsidR="00D67EBA" w:rsidRDefault="00AF75CE" w:rsidP="00001AD1">
            <w:pPr>
              <w:pStyle w:val="TableRowCentered"/>
              <w:jc w:val="left"/>
              <w:rPr>
                <w:sz w:val="20"/>
              </w:rPr>
            </w:pPr>
            <w:r>
              <w:rPr>
                <w:sz w:val="20"/>
              </w:rPr>
              <w:t>D</w:t>
            </w:r>
            <w:r w:rsidR="00D67EBA" w:rsidRPr="00D67EBA">
              <w:rPr>
                <w:sz w:val="20"/>
              </w:rPr>
              <w:t>espite making accelerated progress,</w:t>
            </w:r>
            <w:r>
              <w:rPr>
                <w:sz w:val="20"/>
              </w:rPr>
              <w:t xml:space="preserve"> 54% of disadvantaged pupils</w:t>
            </w:r>
            <w:r w:rsidR="00D67EBA" w:rsidRPr="00D67EBA">
              <w:rPr>
                <w:sz w:val="20"/>
              </w:rPr>
              <w:t xml:space="preserve"> do not meet the required end of year ELG’s. </w:t>
            </w:r>
            <w:r>
              <w:rPr>
                <w:sz w:val="20"/>
              </w:rPr>
              <w:t xml:space="preserve">Communication and language skills is the biggest limiting factor. </w:t>
            </w:r>
          </w:p>
          <w:p w14:paraId="0ED2EBE3" w14:textId="6996CE50" w:rsidR="00AF75CE" w:rsidRDefault="00AF75CE" w:rsidP="00001AD1">
            <w:pPr>
              <w:pStyle w:val="TableRowCentered"/>
              <w:jc w:val="left"/>
              <w:rPr>
                <w:sz w:val="20"/>
              </w:rPr>
            </w:pPr>
          </w:p>
          <w:p w14:paraId="1174FA8E" w14:textId="77777777" w:rsidR="00110FEF" w:rsidRDefault="00AF75CE" w:rsidP="00AF75CE">
            <w:pPr>
              <w:pStyle w:val="TableRowCentered"/>
              <w:jc w:val="left"/>
              <w:rPr>
                <w:sz w:val="20"/>
              </w:rPr>
            </w:pPr>
            <w:r>
              <w:rPr>
                <w:sz w:val="20"/>
              </w:rPr>
              <w:t>**Disadvantaged pupil achieving GLD was 46% in school which slightly outperformed the LA at 45%.</w:t>
            </w:r>
          </w:p>
          <w:p w14:paraId="30B856FE" w14:textId="77777777" w:rsidR="00110FEF" w:rsidRDefault="00110FEF" w:rsidP="00AF75CE">
            <w:pPr>
              <w:pStyle w:val="TableRowCentered"/>
              <w:jc w:val="left"/>
              <w:rPr>
                <w:sz w:val="20"/>
              </w:rPr>
            </w:pPr>
          </w:p>
          <w:p w14:paraId="6D6C9C49" w14:textId="1605ED06" w:rsidR="00001AD1" w:rsidRPr="00AF75CE" w:rsidRDefault="00001AD1" w:rsidP="00AF75CE">
            <w:pPr>
              <w:pStyle w:val="TableRowCentered"/>
              <w:jc w:val="left"/>
              <w:rPr>
                <w:rFonts w:cs="Arial"/>
                <w:sz w:val="20"/>
                <w:highlight w:val="yellow"/>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123C7" w14:textId="59A3D4C6" w:rsidR="00AF75CE" w:rsidRDefault="00AF75CE" w:rsidP="00001AD1">
            <w:pPr>
              <w:pStyle w:val="TableRowCentered"/>
              <w:jc w:val="left"/>
              <w:rPr>
                <w:rFonts w:cs="Arial"/>
                <w:sz w:val="20"/>
              </w:rPr>
            </w:pPr>
            <w:r w:rsidRPr="0062536B">
              <w:rPr>
                <w:rFonts w:cs="Arial"/>
                <w:sz w:val="20"/>
              </w:rPr>
              <w:t>1,</w:t>
            </w:r>
            <w:r>
              <w:rPr>
                <w:rFonts w:cs="Arial"/>
                <w:sz w:val="20"/>
              </w:rPr>
              <w:t xml:space="preserve"> </w:t>
            </w:r>
            <w:r w:rsidR="00A7219B">
              <w:rPr>
                <w:rFonts w:cs="Arial"/>
                <w:sz w:val="20"/>
              </w:rPr>
              <w:t>5</w:t>
            </w:r>
          </w:p>
          <w:p w14:paraId="642D7BE4" w14:textId="77777777" w:rsidR="00AF75CE" w:rsidRDefault="00AF75CE" w:rsidP="00001AD1">
            <w:pPr>
              <w:pStyle w:val="TableRowCentered"/>
              <w:jc w:val="left"/>
              <w:rPr>
                <w:rFonts w:cs="Arial"/>
                <w:sz w:val="20"/>
              </w:rPr>
            </w:pPr>
          </w:p>
          <w:p w14:paraId="7AB48D22" w14:textId="1BB2F594" w:rsidR="00001AD1" w:rsidRPr="007E42DA" w:rsidRDefault="00001AD1" w:rsidP="00001AD1">
            <w:pPr>
              <w:pStyle w:val="TableRowCentered"/>
              <w:jc w:val="left"/>
              <w:rPr>
                <w:rFonts w:cs="Arial"/>
                <w:sz w:val="20"/>
              </w:rPr>
            </w:pPr>
          </w:p>
        </w:tc>
      </w:tr>
    </w:tbl>
    <w:p w14:paraId="2A7D5522" w14:textId="77777777" w:rsidR="00E66558" w:rsidRPr="007E42DA" w:rsidRDefault="00E66558">
      <w:pPr>
        <w:keepNext/>
        <w:spacing w:after="60"/>
        <w:outlineLvl w:val="1"/>
        <w:rPr>
          <w:rFonts w:cs="Arial"/>
          <w:sz w:val="20"/>
          <w:szCs w:val="20"/>
        </w:rPr>
      </w:pPr>
    </w:p>
    <w:p w14:paraId="2A7D5523" w14:textId="1DC08891" w:rsidR="00E66558" w:rsidRPr="007E42DA" w:rsidRDefault="009D71E8">
      <w:pPr>
        <w:rPr>
          <w:rFonts w:cs="Arial"/>
          <w:b/>
          <w:bCs/>
          <w:color w:val="104F75"/>
          <w:sz w:val="20"/>
          <w:szCs w:val="20"/>
        </w:rPr>
      </w:pPr>
      <w:r w:rsidRPr="007E42DA">
        <w:rPr>
          <w:rFonts w:cs="Arial"/>
          <w:b/>
          <w:bCs/>
          <w:color w:val="104F75"/>
          <w:sz w:val="20"/>
          <w:szCs w:val="20"/>
        </w:rPr>
        <w:t xml:space="preserve">Targeted academic support (for example, </w:t>
      </w:r>
      <w:r w:rsidR="00D33FE5" w:rsidRPr="007E42DA">
        <w:rPr>
          <w:rFonts w:cs="Arial"/>
          <w:b/>
          <w:bCs/>
          <w:color w:val="104F75"/>
          <w:sz w:val="20"/>
          <w:szCs w:val="20"/>
        </w:rPr>
        <w:t xml:space="preserve">tutoring, one-to-one support </w:t>
      </w:r>
      <w:r w:rsidRPr="007E42DA">
        <w:rPr>
          <w:rFonts w:cs="Arial"/>
          <w:b/>
          <w:bCs/>
          <w:color w:val="104F75"/>
          <w:sz w:val="20"/>
          <w:szCs w:val="20"/>
        </w:rPr>
        <w:t xml:space="preserve">structured interventions) </w:t>
      </w:r>
    </w:p>
    <w:p w14:paraId="2A7D5524" w14:textId="1164EECC" w:rsidR="00E66558" w:rsidRPr="00690686" w:rsidRDefault="009D71E8">
      <w:pPr>
        <w:rPr>
          <w:rFonts w:cs="Arial"/>
          <w:b/>
          <w:sz w:val="22"/>
          <w:szCs w:val="20"/>
        </w:rPr>
      </w:pPr>
      <w:r w:rsidRPr="00690686">
        <w:rPr>
          <w:rFonts w:cs="Arial"/>
          <w:b/>
          <w:sz w:val="22"/>
          <w:szCs w:val="20"/>
        </w:rPr>
        <w:t>Budgeted cost: £</w:t>
      </w:r>
      <w:r w:rsidR="00690686" w:rsidRPr="00690686">
        <w:rPr>
          <w:rFonts w:cs="Arial"/>
          <w:b/>
          <w:sz w:val="22"/>
          <w:szCs w:val="20"/>
        </w:rPr>
        <w:t>58,082.50 (</w:t>
      </w:r>
      <w:r w:rsidR="00690686">
        <w:rPr>
          <w:rFonts w:cs="Arial"/>
          <w:b/>
          <w:sz w:val="22"/>
          <w:szCs w:val="20"/>
        </w:rPr>
        <w:t>26</w:t>
      </w:r>
      <w:r w:rsidR="00690686" w:rsidRPr="00690686">
        <w:rPr>
          <w:rFonts w:cs="Arial"/>
          <w:b/>
          <w:sz w:val="22"/>
          <w:szCs w:val="20"/>
        </w:rPr>
        <w:t>% of budget)</w:t>
      </w:r>
    </w:p>
    <w:tbl>
      <w:tblPr>
        <w:tblW w:w="5000" w:type="pct"/>
        <w:tblCellMar>
          <w:left w:w="10" w:type="dxa"/>
          <w:right w:w="10" w:type="dxa"/>
        </w:tblCellMar>
        <w:tblLook w:val="04A0" w:firstRow="1" w:lastRow="0" w:firstColumn="1" w:lastColumn="0" w:noHBand="0" w:noVBand="1"/>
      </w:tblPr>
      <w:tblGrid>
        <w:gridCol w:w="2126"/>
        <w:gridCol w:w="5367"/>
        <w:gridCol w:w="1993"/>
      </w:tblGrid>
      <w:tr w:rsidR="00E66558" w:rsidRPr="007E42DA"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E42DA" w:rsidRDefault="009D71E8">
            <w:pPr>
              <w:pStyle w:val="TableHeader"/>
              <w:jc w:val="left"/>
              <w:rPr>
                <w:rFonts w:cs="Arial"/>
                <w:sz w:val="20"/>
                <w:szCs w:val="20"/>
              </w:rPr>
            </w:pPr>
            <w:r w:rsidRPr="007E42DA">
              <w:rPr>
                <w:rFonts w:cs="Arial"/>
                <w:sz w:val="20"/>
                <w:szCs w:val="20"/>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E42DA" w:rsidRDefault="009D71E8">
            <w:pPr>
              <w:pStyle w:val="TableHeader"/>
              <w:jc w:val="left"/>
              <w:rPr>
                <w:rFonts w:cs="Arial"/>
                <w:sz w:val="20"/>
                <w:szCs w:val="20"/>
              </w:rPr>
            </w:pPr>
            <w:r w:rsidRPr="007E42DA">
              <w:rPr>
                <w:rFonts w:cs="Arial"/>
                <w:sz w:val="20"/>
                <w:szCs w:val="20"/>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E42DA" w:rsidRDefault="009D71E8">
            <w:pPr>
              <w:pStyle w:val="TableHeader"/>
              <w:jc w:val="left"/>
              <w:rPr>
                <w:rFonts w:cs="Arial"/>
                <w:sz w:val="20"/>
                <w:szCs w:val="20"/>
              </w:rPr>
            </w:pPr>
            <w:r w:rsidRPr="007E42DA">
              <w:rPr>
                <w:rFonts w:cs="Arial"/>
                <w:sz w:val="20"/>
                <w:szCs w:val="20"/>
              </w:rPr>
              <w:t>Challenge number(s) addressed</w:t>
            </w:r>
          </w:p>
        </w:tc>
      </w:tr>
      <w:tr w:rsidR="00E66558" w:rsidRPr="007E42DA"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1099A" w14:textId="77777777" w:rsidR="00B5451A" w:rsidRPr="007E42DA" w:rsidRDefault="00B5451A" w:rsidP="00B5451A">
            <w:pPr>
              <w:rPr>
                <w:rFonts w:cs="Arial"/>
                <w:b/>
                <w:sz w:val="20"/>
                <w:szCs w:val="20"/>
                <w:u w:val="single"/>
              </w:rPr>
            </w:pPr>
            <w:r w:rsidRPr="007E42DA">
              <w:rPr>
                <w:rFonts w:cs="Arial"/>
                <w:b/>
                <w:sz w:val="20"/>
                <w:szCs w:val="20"/>
                <w:u w:val="single"/>
              </w:rPr>
              <w:t xml:space="preserve">1:1 Online tuition </w:t>
            </w:r>
          </w:p>
          <w:p w14:paraId="524A4870" w14:textId="77777777" w:rsidR="00B5451A" w:rsidRPr="007E42DA" w:rsidRDefault="00B5451A" w:rsidP="00B5451A">
            <w:pPr>
              <w:rPr>
                <w:rFonts w:cs="Arial"/>
                <w:sz w:val="20"/>
                <w:szCs w:val="20"/>
              </w:rPr>
            </w:pPr>
            <w:r w:rsidRPr="007E42DA">
              <w:rPr>
                <w:rFonts w:cs="Arial"/>
                <w:sz w:val="20"/>
                <w:szCs w:val="20"/>
              </w:rPr>
              <w:t>To accelerate the progress of disadvantaged pupils in maths in Y6 by filling the gaps in their learning through an individual weekly tutor led IT session – 3rd Space Learning.</w:t>
            </w:r>
          </w:p>
          <w:p w14:paraId="3B06BA7C" w14:textId="77777777" w:rsidR="00F342D7" w:rsidRPr="00F342D7" w:rsidRDefault="00F342D7" w:rsidP="00B5451A">
            <w:pPr>
              <w:pStyle w:val="TableRow"/>
              <w:ind w:left="0"/>
              <w:rPr>
                <w:rFonts w:cs="Arial"/>
                <w:b/>
                <w:sz w:val="20"/>
                <w:szCs w:val="20"/>
              </w:rPr>
            </w:pPr>
            <w:r w:rsidRPr="00F342D7">
              <w:rPr>
                <w:rFonts w:cs="Arial"/>
                <w:b/>
                <w:sz w:val="20"/>
                <w:szCs w:val="20"/>
              </w:rPr>
              <w:t>£4950</w:t>
            </w:r>
          </w:p>
          <w:p w14:paraId="2A7D5529" w14:textId="239F8D91" w:rsidR="00B5451A" w:rsidRPr="007E42DA" w:rsidRDefault="00B5451A" w:rsidP="00B5451A">
            <w:pPr>
              <w:pStyle w:val="TableRow"/>
              <w:ind w:left="0"/>
              <w:rPr>
                <w:rFonts w:cs="Arial"/>
                <w:sz w:val="20"/>
                <w:szCs w:val="20"/>
              </w:rPr>
            </w:pPr>
            <w:r w:rsidRPr="00F342D7">
              <w:rPr>
                <w:rFonts w:cs="Arial"/>
                <w:b/>
                <w:sz w:val="20"/>
                <w:szCs w:val="20"/>
              </w:rPr>
              <w:t>NTP to cover 75% of the cost for 25 PP children.</w:t>
            </w:r>
            <w:r w:rsidRPr="007E42DA">
              <w:rPr>
                <w:rFonts w:cs="Arial"/>
                <w:sz w:val="20"/>
                <w:szCs w:val="2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1CDE6" w14:textId="77777777" w:rsidR="005C16B5" w:rsidRPr="005F3A95" w:rsidRDefault="005C16B5" w:rsidP="005C16B5">
            <w:pPr>
              <w:suppressAutoHyphens w:val="0"/>
              <w:autoSpaceDN/>
              <w:spacing w:after="160" w:line="259" w:lineRule="auto"/>
              <w:rPr>
                <w:sz w:val="20"/>
              </w:rPr>
            </w:pPr>
            <w:r w:rsidRPr="005F3A95">
              <w:rPr>
                <w:sz w:val="20"/>
              </w:rPr>
              <w:t xml:space="preserve">Tuition targeted at specific needs and knowledge gaps can be an effective method to support low attaining pupils or those falling behind, both one-to-one and in small groups: </w:t>
            </w:r>
          </w:p>
          <w:p w14:paraId="3D049113" w14:textId="77777777" w:rsidR="005C16B5" w:rsidRDefault="00C23ABE" w:rsidP="005C16B5">
            <w:pPr>
              <w:suppressAutoHyphens w:val="0"/>
              <w:autoSpaceDN/>
              <w:spacing w:after="160" w:line="259" w:lineRule="auto"/>
              <w:rPr>
                <w:sz w:val="20"/>
              </w:rPr>
            </w:pPr>
            <w:hyperlink r:id="rId13" w:history="1">
              <w:r w:rsidR="005C16B5" w:rsidRPr="005F3A95">
                <w:rPr>
                  <w:rStyle w:val="Hyperlink"/>
                  <w:sz w:val="22"/>
                </w:rPr>
                <w:t>Small group tuition | EEF (educationendowmentfoundation.org.uk)</w:t>
              </w:r>
            </w:hyperlink>
          </w:p>
          <w:p w14:paraId="74246D0A" w14:textId="77777777" w:rsidR="005C4B4B" w:rsidRDefault="005C4B4B">
            <w:pPr>
              <w:pStyle w:val="TableRowCentered"/>
              <w:jc w:val="left"/>
              <w:rPr>
                <w:rFonts w:cs="Arial"/>
                <w:sz w:val="20"/>
              </w:rPr>
            </w:pPr>
            <w:r>
              <w:rPr>
                <w:rFonts w:cs="Arial"/>
                <w:sz w:val="20"/>
              </w:rPr>
              <w:t>Following a year of Third Space Learning online tuition, t</w:t>
            </w:r>
            <w:r w:rsidR="00A62B55">
              <w:rPr>
                <w:rFonts w:cs="Arial"/>
                <w:sz w:val="20"/>
              </w:rPr>
              <w:t>he “headline” attainment measures at the end of KS2 shows</w:t>
            </w:r>
            <w:r>
              <w:rPr>
                <w:rFonts w:cs="Arial"/>
                <w:sz w:val="20"/>
              </w:rPr>
              <w:t xml:space="preserve"> 68% of our disadvantaged children achieved ARE in maths, outperforming the LA at 59% indicating that the intervention is successful in reducing that limiting factor for our disadvantaged children. Compare this to the “headline” attainment data at the end of 2019 which saw only 26% of our disadvantaged pupils achieve ARE in maths. </w:t>
            </w:r>
          </w:p>
          <w:p w14:paraId="34784BB0" w14:textId="247D07EA" w:rsidR="005C4B4B" w:rsidRDefault="005C4B4B">
            <w:pPr>
              <w:pStyle w:val="TableRowCentered"/>
              <w:jc w:val="left"/>
              <w:rPr>
                <w:rFonts w:cs="Arial"/>
                <w:sz w:val="20"/>
              </w:rPr>
            </w:pPr>
          </w:p>
          <w:p w14:paraId="6BA564FC" w14:textId="129F1556" w:rsidR="000F2F63" w:rsidRDefault="000F2F63">
            <w:pPr>
              <w:pStyle w:val="TableRowCentered"/>
              <w:jc w:val="left"/>
              <w:rPr>
                <w:rFonts w:cs="Arial"/>
                <w:sz w:val="20"/>
              </w:rPr>
            </w:pPr>
          </w:p>
          <w:p w14:paraId="18AC3F11" w14:textId="37BEF15D" w:rsidR="00E66558" w:rsidRDefault="005C4B4B">
            <w:pPr>
              <w:pStyle w:val="TableRowCentered"/>
              <w:jc w:val="left"/>
              <w:rPr>
                <w:rFonts w:cs="Arial"/>
                <w:sz w:val="20"/>
              </w:rPr>
            </w:pPr>
            <w:r>
              <w:rPr>
                <w:rFonts w:cs="Arial"/>
                <w:sz w:val="20"/>
              </w:rPr>
              <w:t xml:space="preserve">We will continue to run the intervention in order to maintain the higher than local ARE outcomes in maths at the end of KS2. </w:t>
            </w:r>
          </w:p>
          <w:p w14:paraId="333E5EB8" w14:textId="77777777" w:rsidR="005F3A95" w:rsidRDefault="005F3A95">
            <w:pPr>
              <w:pStyle w:val="TableRowCentered"/>
              <w:jc w:val="left"/>
              <w:rPr>
                <w:rFonts w:cs="Arial"/>
                <w:sz w:val="20"/>
              </w:rPr>
            </w:pPr>
          </w:p>
          <w:p w14:paraId="2A7D552A" w14:textId="5F569C04" w:rsidR="005F3A95" w:rsidRPr="007E42DA" w:rsidRDefault="005F3A95" w:rsidP="005C16B5">
            <w:pPr>
              <w:suppressAutoHyphens w:val="0"/>
              <w:autoSpaceDN/>
              <w:spacing w:after="160" w:line="259" w:lineRule="auto"/>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A10BD" w14:textId="77777777" w:rsidR="00E66558" w:rsidRDefault="00A7219B">
            <w:pPr>
              <w:pStyle w:val="TableRowCentered"/>
              <w:jc w:val="left"/>
              <w:rPr>
                <w:rFonts w:cs="Arial"/>
                <w:sz w:val="20"/>
              </w:rPr>
            </w:pPr>
            <w:r>
              <w:rPr>
                <w:rFonts w:cs="Arial"/>
                <w:sz w:val="20"/>
              </w:rPr>
              <w:t>3,4</w:t>
            </w:r>
          </w:p>
          <w:p w14:paraId="2A7D552B" w14:textId="6D7273CE" w:rsidR="000A3AA9" w:rsidRPr="007E42DA" w:rsidRDefault="000A3AA9">
            <w:pPr>
              <w:pStyle w:val="TableRowCentered"/>
              <w:jc w:val="left"/>
              <w:rPr>
                <w:rFonts w:cs="Arial"/>
                <w:sz w:val="20"/>
              </w:rPr>
            </w:pPr>
          </w:p>
        </w:tc>
      </w:tr>
      <w:tr w:rsidR="00E66558" w:rsidRPr="007E42DA"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2517" w14:textId="77777777" w:rsidR="00B5451A" w:rsidRPr="007E42DA" w:rsidRDefault="00B5451A" w:rsidP="00B5451A">
            <w:pPr>
              <w:rPr>
                <w:rFonts w:cs="Arial"/>
                <w:b/>
                <w:sz w:val="20"/>
                <w:szCs w:val="20"/>
                <w:u w:val="single"/>
              </w:rPr>
            </w:pPr>
            <w:r w:rsidRPr="007E42DA">
              <w:rPr>
                <w:rFonts w:cs="Arial"/>
                <w:b/>
                <w:sz w:val="20"/>
                <w:szCs w:val="20"/>
                <w:u w:val="single"/>
              </w:rPr>
              <w:t>1:1 and small group support:</w:t>
            </w:r>
          </w:p>
          <w:p w14:paraId="567AA18B" w14:textId="308A5E4F" w:rsidR="00B5451A" w:rsidRPr="007E42DA" w:rsidRDefault="00B5451A" w:rsidP="00B5451A">
            <w:pPr>
              <w:rPr>
                <w:rFonts w:cs="Arial"/>
                <w:sz w:val="20"/>
                <w:szCs w:val="20"/>
              </w:rPr>
            </w:pPr>
            <w:r w:rsidRPr="007E42DA">
              <w:rPr>
                <w:rFonts w:cs="Arial"/>
                <w:sz w:val="20"/>
                <w:szCs w:val="20"/>
              </w:rPr>
              <w:t>To accelerate the progress for the most vulnerable readers from FS2 to Year 2 through a daily reading programme</w:t>
            </w:r>
            <w:r w:rsidR="00F56747">
              <w:rPr>
                <w:rFonts w:cs="Arial"/>
                <w:sz w:val="20"/>
                <w:szCs w:val="20"/>
              </w:rPr>
              <w:t xml:space="preserve"> for those children who do not get the opportunity to read at home</w:t>
            </w:r>
            <w:r w:rsidRPr="007E42DA">
              <w:rPr>
                <w:rFonts w:cs="Arial"/>
                <w:sz w:val="20"/>
                <w:szCs w:val="20"/>
              </w:rPr>
              <w:t>.</w:t>
            </w:r>
          </w:p>
          <w:p w14:paraId="3994488F" w14:textId="77777777" w:rsidR="00B5451A" w:rsidRPr="00D34C8E" w:rsidRDefault="00B5451A" w:rsidP="00B5451A">
            <w:pPr>
              <w:rPr>
                <w:rFonts w:cs="Arial"/>
                <w:sz w:val="20"/>
                <w:szCs w:val="20"/>
              </w:rPr>
            </w:pPr>
            <w:r w:rsidRPr="007E42DA">
              <w:rPr>
                <w:rFonts w:cs="Arial"/>
                <w:sz w:val="20"/>
                <w:szCs w:val="20"/>
              </w:rPr>
              <w:t xml:space="preserve">Classroom assistance to provide 1:1 reading support to increase reading fluency, decoding skills and </w:t>
            </w:r>
            <w:r w:rsidRPr="00D34C8E">
              <w:rPr>
                <w:rFonts w:cs="Arial"/>
                <w:sz w:val="20"/>
                <w:szCs w:val="20"/>
              </w:rPr>
              <w:t xml:space="preserve">comprehension skills. </w:t>
            </w:r>
          </w:p>
          <w:p w14:paraId="1A65B310" w14:textId="77777777" w:rsidR="00F342D7" w:rsidRPr="00F342D7" w:rsidRDefault="00F342D7" w:rsidP="00D34C8E">
            <w:pPr>
              <w:pStyle w:val="TableRow"/>
              <w:rPr>
                <w:rFonts w:cs="Arial"/>
                <w:b/>
                <w:sz w:val="20"/>
                <w:szCs w:val="20"/>
              </w:rPr>
            </w:pPr>
            <w:r w:rsidRPr="00F342D7">
              <w:rPr>
                <w:rFonts w:cs="Arial"/>
                <w:b/>
                <w:sz w:val="20"/>
                <w:szCs w:val="20"/>
              </w:rPr>
              <w:t>£8627 X 5 = £43,135</w:t>
            </w:r>
          </w:p>
          <w:p w14:paraId="2A7D552D" w14:textId="13ADCD53" w:rsidR="00E66558" w:rsidRPr="007E42DA" w:rsidRDefault="00D34C8E" w:rsidP="00D34C8E">
            <w:pPr>
              <w:pStyle w:val="TableRow"/>
              <w:rPr>
                <w:rFonts w:cs="Arial"/>
                <w:i/>
                <w:sz w:val="20"/>
                <w:szCs w:val="20"/>
              </w:rPr>
            </w:pPr>
            <w:r w:rsidRPr="00F342D7">
              <w:rPr>
                <w:rFonts w:cs="Arial"/>
                <w:b/>
                <w:sz w:val="20"/>
                <w:szCs w:val="20"/>
              </w:rPr>
              <w:t>(2.5 hours x 5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60C05" w14:textId="730218AC" w:rsidR="00CC4D0E" w:rsidRDefault="00CC4D0E" w:rsidP="00CC4D0E">
            <w:pPr>
              <w:pStyle w:val="TableRowCentered"/>
              <w:jc w:val="left"/>
              <w:rPr>
                <w:sz w:val="20"/>
              </w:rPr>
            </w:pPr>
            <w:r>
              <w:rPr>
                <w:sz w:val="20"/>
              </w:rPr>
              <w:t xml:space="preserve">The 1:1 Teaching of reading is used across school to teach pupils to use strategies for developing and monitoring their reading comprehension using prediction, questioning, clarifying summarising and activating prior knowledge as recommended in the EEF guide to Improving Literacy at KS1.  </w:t>
            </w:r>
          </w:p>
          <w:p w14:paraId="1E162AD7" w14:textId="3AFF057A" w:rsidR="00CC4D0E" w:rsidRDefault="00C23ABE">
            <w:pPr>
              <w:pStyle w:val="TableRowCentered"/>
              <w:jc w:val="left"/>
              <w:rPr>
                <w:sz w:val="20"/>
              </w:rPr>
            </w:pPr>
            <w:hyperlink r:id="rId14" w:history="1">
              <w:r w:rsidR="00CC4D0E" w:rsidRPr="007D433A">
                <w:rPr>
                  <w:rStyle w:val="Hyperlink"/>
                  <w:sz w:val="20"/>
                </w:rPr>
                <w:t>https://educationendowmentfoundation.org.uk/education-evidence/guidance-reports/literacy-ks-1</w:t>
              </w:r>
            </w:hyperlink>
          </w:p>
          <w:p w14:paraId="6481E4B2" w14:textId="52CCB7EC" w:rsidR="00CC4D0E" w:rsidRDefault="00CC4D0E">
            <w:pPr>
              <w:pStyle w:val="TableRowCentered"/>
              <w:jc w:val="left"/>
              <w:rPr>
                <w:sz w:val="20"/>
              </w:rPr>
            </w:pPr>
          </w:p>
          <w:p w14:paraId="12B8BE31" w14:textId="77777777" w:rsidR="00CC4D0E" w:rsidRDefault="00CC4D0E">
            <w:pPr>
              <w:pStyle w:val="TableRowCentered"/>
              <w:jc w:val="left"/>
              <w:rPr>
                <w:sz w:val="20"/>
              </w:rPr>
            </w:pPr>
          </w:p>
          <w:p w14:paraId="6A91A748" w14:textId="18B976FB" w:rsidR="00F56747" w:rsidRDefault="00F56747">
            <w:pPr>
              <w:pStyle w:val="TableRowCentered"/>
              <w:jc w:val="left"/>
              <w:rPr>
                <w:sz w:val="20"/>
              </w:rPr>
            </w:pPr>
            <w:r w:rsidRPr="00F56747">
              <w:rPr>
                <w:sz w:val="20"/>
              </w:rPr>
              <w:t xml:space="preserve">The percentage of disadvantaged children who achieved ARE in reading has fell considerably when compared to the 2019 end of KS1 data. </w:t>
            </w:r>
          </w:p>
          <w:p w14:paraId="147CBB7F" w14:textId="5EEE301D" w:rsidR="00F56747" w:rsidRDefault="00F56747" w:rsidP="004F3CFA">
            <w:pPr>
              <w:pStyle w:val="TableRowCentered"/>
              <w:jc w:val="left"/>
              <w:rPr>
                <w:sz w:val="20"/>
              </w:rPr>
            </w:pPr>
            <w:r>
              <w:rPr>
                <w:sz w:val="20"/>
              </w:rPr>
              <w:t xml:space="preserve">In 2019 75% of disadvantaged children achieved ARE which was above the LA at 55%. In 2021 the percentage of disadvantaged children achieving ARE at the end of KS1 has fell by </w:t>
            </w:r>
            <w:r w:rsidR="004F3CFA">
              <w:rPr>
                <w:sz w:val="20"/>
              </w:rPr>
              <w:t xml:space="preserve">38% to 37% which is well below LA and the 2019 school data. </w:t>
            </w:r>
          </w:p>
          <w:p w14:paraId="72B8A718" w14:textId="3AE75BF3" w:rsidR="004F3CFA" w:rsidRDefault="004F3CFA" w:rsidP="004F3CFA">
            <w:pPr>
              <w:pStyle w:val="TableRowCentered"/>
              <w:jc w:val="left"/>
              <w:rPr>
                <w:sz w:val="20"/>
              </w:rPr>
            </w:pPr>
          </w:p>
          <w:p w14:paraId="089A0C43" w14:textId="668B3D20" w:rsidR="001F45CF" w:rsidRDefault="004F3CFA" w:rsidP="001F45CF">
            <w:pPr>
              <w:pStyle w:val="TableRowCentered"/>
              <w:jc w:val="left"/>
              <w:rPr>
                <w:sz w:val="20"/>
              </w:rPr>
            </w:pPr>
            <w:r>
              <w:rPr>
                <w:sz w:val="20"/>
              </w:rPr>
              <w:t>Summer 2021 in school data shows that the percentage of disadvantaged children achieving ARE across FS2- Yr2</w:t>
            </w:r>
            <w:r w:rsidR="001F45CF">
              <w:rPr>
                <w:sz w:val="20"/>
              </w:rPr>
              <w:t xml:space="preserve"> in reading</w:t>
            </w:r>
            <w:r>
              <w:rPr>
                <w:sz w:val="20"/>
              </w:rPr>
              <w:t xml:space="preserve"> is</w:t>
            </w:r>
            <w:r w:rsidR="001F45CF">
              <w:rPr>
                <w:sz w:val="20"/>
              </w:rPr>
              <w:t>:</w:t>
            </w:r>
          </w:p>
          <w:p w14:paraId="21C9112B" w14:textId="6579A68F" w:rsidR="001F45CF" w:rsidRDefault="001F45CF" w:rsidP="001F45CF">
            <w:pPr>
              <w:pStyle w:val="TableRowCentered"/>
              <w:jc w:val="left"/>
              <w:rPr>
                <w:sz w:val="20"/>
              </w:rPr>
            </w:pPr>
            <w:r>
              <w:rPr>
                <w:sz w:val="20"/>
              </w:rPr>
              <w:t xml:space="preserve">FS2 – 50% </w:t>
            </w:r>
          </w:p>
          <w:p w14:paraId="3899137C" w14:textId="511808FA" w:rsidR="001F45CF" w:rsidRDefault="001F45CF" w:rsidP="004F3CFA">
            <w:pPr>
              <w:pStyle w:val="TableRowCentered"/>
              <w:jc w:val="left"/>
              <w:rPr>
                <w:sz w:val="20"/>
              </w:rPr>
            </w:pPr>
            <w:r>
              <w:rPr>
                <w:sz w:val="20"/>
              </w:rPr>
              <w:t>Year 1 – 50%</w:t>
            </w:r>
          </w:p>
          <w:p w14:paraId="221D4420" w14:textId="6DD00A57" w:rsidR="001F45CF" w:rsidRPr="004F3CFA" w:rsidRDefault="001F45CF" w:rsidP="004F3CFA">
            <w:pPr>
              <w:pStyle w:val="TableRowCentered"/>
              <w:jc w:val="left"/>
              <w:rPr>
                <w:sz w:val="20"/>
              </w:rPr>
            </w:pPr>
            <w:r>
              <w:rPr>
                <w:sz w:val="20"/>
              </w:rPr>
              <w:t>Year 2 – 44%</w:t>
            </w:r>
          </w:p>
          <w:p w14:paraId="30868BCE" w14:textId="77777777" w:rsidR="00F56747" w:rsidRDefault="00F56747">
            <w:pPr>
              <w:pStyle w:val="TableRowCentered"/>
              <w:jc w:val="left"/>
            </w:pPr>
          </w:p>
          <w:p w14:paraId="2A7D552E" w14:textId="72210341" w:rsidR="00F56747" w:rsidRPr="007E42DA" w:rsidRDefault="00F56747" w:rsidP="004F3CFA">
            <w:pPr>
              <w:pStyle w:val="TableRowCentered"/>
              <w:ind w:left="0"/>
              <w:jc w:val="left"/>
              <w:rPr>
                <w:rFonts w:cs="Arial"/>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F42FC" w14:textId="77777777" w:rsidR="00E66558" w:rsidRDefault="00A7219B">
            <w:pPr>
              <w:pStyle w:val="TableRowCentered"/>
              <w:jc w:val="left"/>
              <w:rPr>
                <w:rFonts w:cs="Arial"/>
                <w:sz w:val="20"/>
              </w:rPr>
            </w:pPr>
            <w:r>
              <w:rPr>
                <w:rFonts w:cs="Arial"/>
                <w:sz w:val="20"/>
              </w:rPr>
              <w:t>1,3,6</w:t>
            </w:r>
          </w:p>
          <w:p w14:paraId="2A7D552F" w14:textId="22B8D5E9" w:rsidR="000A3AA9" w:rsidRPr="007E42DA" w:rsidRDefault="000A3AA9">
            <w:pPr>
              <w:pStyle w:val="TableRowCentered"/>
              <w:jc w:val="left"/>
              <w:rPr>
                <w:rFonts w:cs="Arial"/>
                <w:sz w:val="20"/>
              </w:rPr>
            </w:pPr>
          </w:p>
        </w:tc>
      </w:tr>
      <w:tr w:rsidR="007B2319" w:rsidRPr="007E42DA" w14:paraId="6FD901B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3331A" w14:textId="77777777" w:rsidR="007B2319" w:rsidRPr="007E42DA" w:rsidRDefault="007B2319" w:rsidP="007B2319">
            <w:pPr>
              <w:rPr>
                <w:rFonts w:cs="Arial"/>
                <w:b/>
                <w:bCs/>
                <w:color w:val="000000" w:themeColor="text1"/>
                <w:sz w:val="20"/>
                <w:szCs w:val="20"/>
                <w:u w:val="single"/>
              </w:rPr>
            </w:pPr>
            <w:r w:rsidRPr="007E42DA">
              <w:rPr>
                <w:rFonts w:cs="Arial"/>
                <w:b/>
                <w:bCs/>
                <w:color w:val="000000" w:themeColor="text1"/>
                <w:sz w:val="20"/>
                <w:szCs w:val="20"/>
                <w:u w:val="single"/>
              </w:rPr>
              <w:t>1:1 and small group tuition:</w:t>
            </w:r>
            <w:r w:rsidRPr="007E42DA">
              <w:rPr>
                <w:rFonts w:cs="Arial"/>
                <w:sz w:val="20"/>
                <w:szCs w:val="20"/>
              </w:rPr>
              <w:t xml:space="preserve"> </w:t>
            </w:r>
          </w:p>
          <w:p w14:paraId="5C6369BC" w14:textId="77777777" w:rsidR="007B2319" w:rsidRPr="007E42DA" w:rsidRDefault="007B2319" w:rsidP="007B2319">
            <w:pPr>
              <w:pStyle w:val="TableRow"/>
              <w:rPr>
                <w:rFonts w:cs="Arial"/>
                <w:sz w:val="20"/>
                <w:szCs w:val="20"/>
              </w:rPr>
            </w:pPr>
            <w:r w:rsidRPr="007E42DA">
              <w:rPr>
                <w:rFonts w:cs="Arial"/>
                <w:sz w:val="20"/>
                <w:szCs w:val="20"/>
              </w:rPr>
              <w:t xml:space="preserve">To accelerate the progress of identified children within KS1 in phonics, writing and maths in order to achieve ARE by the end of the academic year through the National Tutoring Programme. </w:t>
            </w:r>
          </w:p>
          <w:p w14:paraId="01939C3E" w14:textId="77777777" w:rsidR="007B2319" w:rsidRPr="007E42DA" w:rsidRDefault="007B2319" w:rsidP="007B2319">
            <w:pPr>
              <w:pStyle w:val="TableRow"/>
              <w:rPr>
                <w:rFonts w:cs="Arial"/>
                <w:sz w:val="20"/>
                <w:szCs w:val="20"/>
              </w:rPr>
            </w:pPr>
          </w:p>
          <w:p w14:paraId="64B79A60" w14:textId="6D76CC97" w:rsidR="007B2319" w:rsidRPr="00CC4D0E" w:rsidRDefault="007B2319" w:rsidP="007B2319">
            <w:pPr>
              <w:pStyle w:val="TableRow"/>
              <w:rPr>
                <w:rFonts w:cs="Arial"/>
                <w:sz w:val="20"/>
                <w:szCs w:val="20"/>
              </w:rPr>
            </w:pPr>
            <w:r w:rsidRPr="00CC4D0E">
              <w:rPr>
                <w:rFonts w:cs="Arial"/>
                <w:b/>
                <w:bCs/>
                <w:color w:val="auto"/>
                <w:sz w:val="20"/>
                <w:szCs w:val="20"/>
              </w:rPr>
              <w:t xml:space="preserve"> (3 hours a day, 5 days a week for 30 weeks) </w:t>
            </w:r>
          </w:p>
          <w:p w14:paraId="16BD3ADE" w14:textId="72AA32E8" w:rsidR="007B2319" w:rsidRPr="007E42DA" w:rsidRDefault="007B2319" w:rsidP="007B2319">
            <w:pPr>
              <w:pStyle w:val="TableRow"/>
              <w:rPr>
                <w:rFonts w:cs="Arial"/>
                <w:i/>
                <w:sz w:val="20"/>
                <w:szCs w:val="20"/>
              </w:rPr>
            </w:pPr>
            <w:r w:rsidRPr="00CC4D0E">
              <w:rPr>
                <w:rFonts w:cs="Arial"/>
                <w:b/>
                <w:bCs/>
                <w:i/>
                <w:iCs/>
                <w:color w:val="auto"/>
                <w:sz w:val="20"/>
                <w:szCs w:val="20"/>
              </w:rPr>
              <w:t>(</w:t>
            </w:r>
            <w:r w:rsidRPr="00CC4D0E">
              <w:rPr>
                <w:rFonts w:cs="Arial"/>
                <w:b/>
                <w:bCs/>
                <w:color w:val="auto"/>
                <w:sz w:val="20"/>
                <w:szCs w:val="20"/>
              </w:rPr>
              <w:t>£183.75 per week X 30 = £5512.50</w:t>
            </w:r>
            <w:r w:rsidRPr="00CC4D0E">
              <w:rPr>
                <w:rFonts w:cs="Arial"/>
                <w:b/>
                <w:bCs/>
                <w:i/>
                <w:iCs/>
                <w:color w:val="auto"/>
                <w:sz w:val="20"/>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98461" w14:textId="61158D8D" w:rsidR="005F3A95" w:rsidRPr="005F3A95" w:rsidRDefault="005F3A95" w:rsidP="007B2319">
            <w:pPr>
              <w:pStyle w:val="TableRowCentered"/>
              <w:jc w:val="left"/>
              <w:rPr>
                <w:rFonts w:cs="Arial"/>
                <w:b/>
                <w:sz w:val="16"/>
              </w:rPr>
            </w:pPr>
            <w:r w:rsidRPr="005F3A95">
              <w:rPr>
                <w:sz w:val="20"/>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 </w:t>
            </w:r>
            <w:hyperlink r:id="rId15" w:history="1">
              <w:r w:rsidRPr="005F3A95">
                <w:rPr>
                  <w:rStyle w:val="Hyperlink"/>
                  <w:sz w:val="20"/>
                </w:rPr>
                <w:t>Phonics | EEF (educationendowmentfoundation.org.uk)</w:t>
              </w:r>
            </w:hyperlink>
            <w:r>
              <w:t xml:space="preserve"> </w:t>
            </w:r>
          </w:p>
          <w:p w14:paraId="6F2337F3" w14:textId="3ECC3DE1" w:rsidR="007B2319" w:rsidRPr="001F45CF" w:rsidRDefault="007B2319" w:rsidP="00305C55">
            <w:pPr>
              <w:pStyle w:val="TableRowCentered"/>
              <w:ind w:left="0"/>
              <w:jc w:val="left"/>
              <w:rPr>
                <w:rFonts w:cs="Arial"/>
                <w:b/>
                <w:sz w:val="20"/>
              </w:rPr>
            </w:pPr>
            <w:r w:rsidRPr="001F45CF">
              <w:rPr>
                <w:rFonts w:cs="Arial"/>
                <w:b/>
                <w:sz w:val="20"/>
              </w:rPr>
              <w:t>Phonics Support:</w:t>
            </w:r>
          </w:p>
          <w:p w14:paraId="38D34E83" w14:textId="5A8E6504" w:rsidR="007B2319" w:rsidRDefault="007B2319" w:rsidP="007B2319">
            <w:pPr>
              <w:pStyle w:val="TableRowCentered"/>
              <w:jc w:val="left"/>
              <w:rPr>
                <w:sz w:val="20"/>
              </w:rPr>
            </w:pPr>
            <w:r>
              <w:rPr>
                <w:rFonts w:cs="Arial"/>
                <w:sz w:val="20"/>
              </w:rPr>
              <w:t xml:space="preserve">The “headline” attainment measure at end of EYFS identifies that </w:t>
            </w:r>
            <w:r>
              <w:rPr>
                <w:sz w:val="20"/>
              </w:rPr>
              <w:t>d</w:t>
            </w:r>
            <w:r w:rsidRPr="00D67EBA">
              <w:rPr>
                <w:sz w:val="20"/>
              </w:rPr>
              <w:t>espite making accelerated progress,</w:t>
            </w:r>
            <w:r>
              <w:rPr>
                <w:sz w:val="20"/>
              </w:rPr>
              <w:t xml:space="preserve"> 54% of disadvantaged pupils</w:t>
            </w:r>
            <w:r w:rsidRPr="00D67EBA">
              <w:rPr>
                <w:sz w:val="20"/>
              </w:rPr>
              <w:t xml:space="preserve"> do not meet the required end of year ELG’s. </w:t>
            </w:r>
            <w:r>
              <w:rPr>
                <w:sz w:val="20"/>
              </w:rPr>
              <w:t xml:space="preserve">Communication and language skills is the biggest limiting factor. </w:t>
            </w:r>
          </w:p>
          <w:p w14:paraId="3358D0DD" w14:textId="26BB82EE" w:rsidR="005629FF" w:rsidRDefault="007B2319" w:rsidP="001F45CF">
            <w:pPr>
              <w:pStyle w:val="TableRowCentered"/>
              <w:jc w:val="left"/>
              <w:rPr>
                <w:sz w:val="20"/>
              </w:rPr>
            </w:pPr>
            <w:r w:rsidRPr="007B2319">
              <w:rPr>
                <w:sz w:val="20"/>
              </w:rPr>
              <w:t xml:space="preserve">The ‘headline’ attainment measure at KS1 (percentage of children achieving at least the expected standard in Reading, Writing &amp; Maths) could indicate that COVID-related disruption has had a considerable impact on outcomes, especially in 2021. </w:t>
            </w:r>
            <w:r w:rsidR="005629FF" w:rsidRPr="005629FF">
              <w:rPr>
                <w:sz w:val="20"/>
              </w:rPr>
              <w:t>Only 56</w:t>
            </w:r>
            <w:r w:rsidRPr="005629FF">
              <w:rPr>
                <w:sz w:val="20"/>
              </w:rPr>
              <w:t>% of pupils achieved the combined st</w:t>
            </w:r>
            <w:r w:rsidR="005629FF" w:rsidRPr="005629FF">
              <w:rPr>
                <w:sz w:val="20"/>
              </w:rPr>
              <w:t>andard this year, compared to 61</w:t>
            </w:r>
            <w:r w:rsidRPr="005629FF">
              <w:rPr>
                <w:sz w:val="20"/>
              </w:rPr>
              <w:t>% of the school’s KS1 cohort in 2019, and 65% of pupils nationally in 2019.</w:t>
            </w:r>
            <w:r w:rsidR="003F59F3">
              <w:rPr>
                <w:sz w:val="20"/>
              </w:rPr>
              <w:t xml:space="preserve"> D</w:t>
            </w:r>
            <w:r w:rsidR="00400570">
              <w:rPr>
                <w:sz w:val="20"/>
              </w:rPr>
              <w:t>a</w:t>
            </w:r>
            <w:r w:rsidR="003F59F3">
              <w:rPr>
                <w:sz w:val="20"/>
              </w:rPr>
              <w:t xml:space="preserve">ta indicates that the group of pupils most disrupted by the pandemic are disadvantaged pupils. When comparing the 2019 outcomes for disadvantaged pupils to the 2021 outcomes there had been a significant decrease in the number of DP achieving ARE in reading, writing and maths. </w:t>
            </w:r>
          </w:p>
          <w:p w14:paraId="5DC6506A" w14:textId="77777777" w:rsidR="003F59F3" w:rsidRDefault="003F59F3" w:rsidP="001F45CF">
            <w:pPr>
              <w:pStyle w:val="TableRowCentered"/>
              <w:jc w:val="left"/>
              <w:rPr>
                <w:sz w:val="20"/>
              </w:rPr>
            </w:pPr>
          </w:p>
          <w:tbl>
            <w:tblPr>
              <w:tblStyle w:val="TableGrid"/>
              <w:tblW w:w="0" w:type="auto"/>
              <w:tblInd w:w="57" w:type="dxa"/>
              <w:tblLook w:val="04A0" w:firstRow="1" w:lastRow="0" w:firstColumn="1" w:lastColumn="0" w:noHBand="0" w:noVBand="1"/>
            </w:tblPr>
            <w:tblGrid>
              <w:gridCol w:w="1331"/>
              <w:gridCol w:w="1320"/>
              <w:gridCol w:w="1320"/>
            </w:tblGrid>
            <w:tr w:rsidR="003F59F3" w14:paraId="35311674" w14:textId="77777777" w:rsidTr="003F59F3">
              <w:tc>
                <w:tcPr>
                  <w:tcW w:w="1331" w:type="dxa"/>
                </w:tcPr>
                <w:p w14:paraId="4AAF7DDE" w14:textId="14E64672" w:rsidR="003F59F3" w:rsidRDefault="003F59F3" w:rsidP="001F45CF">
                  <w:pPr>
                    <w:pStyle w:val="TableRowCentered"/>
                    <w:ind w:left="0"/>
                    <w:jc w:val="left"/>
                    <w:rPr>
                      <w:sz w:val="16"/>
                    </w:rPr>
                  </w:pPr>
                  <w:r>
                    <w:rPr>
                      <w:sz w:val="16"/>
                    </w:rPr>
                    <w:t>% of DP pupils achieving ARE end of KS1</w:t>
                  </w:r>
                </w:p>
              </w:tc>
              <w:tc>
                <w:tcPr>
                  <w:tcW w:w="1320" w:type="dxa"/>
                </w:tcPr>
                <w:p w14:paraId="497C8264" w14:textId="0DECF169" w:rsidR="003F59F3" w:rsidRDefault="003F59F3" w:rsidP="001F45CF">
                  <w:pPr>
                    <w:pStyle w:val="TableRowCentered"/>
                    <w:ind w:left="0"/>
                    <w:jc w:val="left"/>
                    <w:rPr>
                      <w:sz w:val="16"/>
                    </w:rPr>
                  </w:pPr>
                  <w:r>
                    <w:rPr>
                      <w:sz w:val="16"/>
                    </w:rPr>
                    <w:t>2019</w:t>
                  </w:r>
                </w:p>
              </w:tc>
              <w:tc>
                <w:tcPr>
                  <w:tcW w:w="1320" w:type="dxa"/>
                </w:tcPr>
                <w:p w14:paraId="48A320E0" w14:textId="605E3533" w:rsidR="003F59F3" w:rsidRDefault="003F59F3" w:rsidP="001F45CF">
                  <w:pPr>
                    <w:pStyle w:val="TableRowCentered"/>
                    <w:ind w:left="0"/>
                    <w:jc w:val="left"/>
                    <w:rPr>
                      <w:sz w:val="16"/>
                    </w:rPr>
                  </w:pPr>
                  <w:r>
                    <w:rPr>
                      <w:sz w:val="16"/>
                    </w:rPr>
                    <w:t>2021</w:t>
                  </w:r>
                </w:p>
              </w:tc>
            </w:tr>
            <w:tr w:rsidR="003F59F3" w14:paraId="557FC8F3" w14:textId="77777777" w:rsidTr="003F59F3">
              <w:tc>
                <w:tcPr>
                  <w:tcW w:w="1331" w:type="dxa"/>
                </w:tcPr>
                <w:p w14:paraId="37373B41" w14:textId="3C58050E" w:rsidR="003F59F3" w:rsidRDefault="003F59F3" w:rsidP="001F45CF">
                  <w:pPr>
                    <w:pStyle w:val="TableRowCentered"/>
                    <w:ind w:left="0"/>
                    <w:jc w:val="left"/>
                    <w:rPr>
                      <w:sz w:val="16"/>
                    </w:rPr>
                  </w:pPr>
                  <w:r>
                    <w:rPr>
                      <w:sz w:val="16"/>
                    </w:rPr>
                    <w:t>Reading</w:t>
                  </w:r>
                </w:p>
              </w:tc>
              <w:tc>
                <w:tcPr>
                  <w:tcW w:w="1320" w:type="dxa"/>
                </w:tcPr>
                <w:p w14:paraId="5CE901A8" w14:textId="2B347850" w:rsidR="003F59F3" w:rsidRDefault="003F59F3" w:rsidP="001F45CF">
                  <w:pPr>
                    <w:pStyle w:val="TableRowCentered"/>
                    <w:ind w:left="0"/>
                    <w:jc w:val="left"/>
                    <w:rPr>
                      <w:sz w:val="16"/>
                    </w:rPr>
                  </w:pPr>
                  <w:r>
                    <w:rPr>
                      <w:sz w:val="16"/>
                    </w:rPr>
                    <w:t>75</w:t>
                  </w:r>
                </w:p>
              </w:tc>
              <w:tc>
                <w:tcPr>
                  <w:tcW w:w="1320" w:type="dxa"/>
                </w:tcPr>
                <w:p w14:paraId="71F16A16" w14:textId="646CA33B" w:rsidR="003F59F3" w:rsidRDefault="003F59F3" w:rsidP="001F45CF">
                  <w:pPr>
                    <w:pStyle w:val="TableRowCentered"/>
                    <w:ind w:left="0"/>
                    <w:jc w:val="left"/>
                    <w:rPr>
                      <w:sz w:val="16"/>
                    </w:rPr>
                  </w:pPr>
                  <w:r>
                    <w:rPr>
                      <w:sz w:val="16"/>
                    </w:rPr>
                    <w:t>37.5</w:t>
                  </w:r>
                </w:p>
              </w:tc>
            </w:tr>
            <w:tr w:rsidR="003F59F3" w14:paraId="1C332FF8" w14:textId="77777777" w:rsidTr="003F59F3">
              <w:tc>
                <w:tcPr>
                  <w:tcW w:w="1331" w:type="dxa"/>
                </w:tcPr>
                <w:p w14:paraId="224CEEF7" w14:textId="267DA4F6" w:rsidR="003F59F3" w:rsidRDefault="003F59F3" w:rsidP="001F45CF">
                  <w:pPr>
                    <w:pStyle w:val="TableRowCentered"/>
                    <w:ind w:left="0"/>
                    <w:jc w:val="left"/>
                    <w:rPr>
                      <w:sz w:val="16"/>
                    </w:rPr>
                  </w:pPr>
                  <w:r>
                    <w:rPr>
                      <w:sz w:val="16"/>
                    </w:rPr>
                    <w:t>Writing</w:t>
                  </w:r>
                </w:p>
              </w:tc>
              <w:tc>
                <w:tcPr>
                  <w:tcW w:w="1320" w:type="dxa"/>
                </w:tcPr>
                <w:p w14:paraId="7C7847A7" w14:textId="3A259FD7" w:rsidR="003F59F3" w:rsidRDefault="003F59F3" w:rsidP="001F45CF">
                  <w:pPr>
                    <w:pStyle w:val="TableRowCentered"/>
                    <w:ind w:left="0"/>
                    <w:jc w:val="left"/>
                    <w:rPr>
                      <w:sz w:val="16"/>
                    </w:rPr>
                  </w:pPr>
                  <w:r>
                    <w:rPr>
                      <w:sz w:val="16"/>
                    </w:rPr>
                    <w:t>60</w:t>
                  </w:r>
                </w:p>
              </w:tc>
              <w:tc>
                <w:tcPr>
                  <w:tcW w:w="1320" w:type="dxa"/>
                </w:tcPr>
                <w:p w14:paraId="2D61CE46" w14:textId="035DEA84" w:rsidR="003F59F3" w:rsidRDefault="003F59F3" w:rsidP="001F45CF">
                  <w:pPr>
                    <w:pStyle w:val="TableRowCentered"/>
                    <w:ind w:left="0"/>
                    <w:jc w:val="left"/>
                    <w:rPr>
                      <w:sz w:val="16"/>
                    </w:rPr>
                  </w:pPr>
                  <w:r>
                    <w:rPr>
                      <w:sz w:val="16"/>
                    </w:rPr>
                    <w:t>37.5</w:t>
                  </w:r>
                </w:p>
              </w:tc>
            </w:tr>
            <w:tr w:rsidR="003F59F3" w14:paraId="6F14302F" w14:textId="77777777" w:rsidTr="003F59F3">
              <w:tc>
                <w:tcPr>
                  <w:tcW w:w="1331" w:type="dxa"/>
                </w:tcPr>
                <w:p w14:paraId="72C3FD14" w14:textId="050ACF16" w:rsidR="003F59F3" w:rsidRDefault="003F59F3" w:rsidP="001F45CF">
                  <w:pPr>
                    <w:pStyle w:val="TableRowCentered"/>
                    <w:ind w:left="0"/>
                    <w:jc w:val="left"/>
                    <w:rPr>
                      <w:sz w:val="16"/>
                    </w:rPr>
                  </w:pPr>
                  <w:r>
                    <w:rPr>
                      <w:sz w:val="16"/>
                    </w:rPr>
                    <w:t xml:space="preserve">Maths </w:t>
                  </w:r>
                </w:p>
              </w:tc>
              <w:tc>
                <w:tcPr>
                  <w:tcW w:w="1320" w:type="dxa"/>
                </w:tcPr>
                <w:p w14:paraId="63D0ED1D" w14:textId="770F453F" w:rsidR="003F59F3" w:rsidRDefault="003F59F3" w:rsidP="001F45CF">
                  <w:pPr>
                    <w:pStyle w:val="TableRowCentered"/>
                    <w:ind w:left="0"/>
                    <w:jc w:val="left"/>
                    <w:rPr>
                      <w:sz w:val="16"/>
                    </w:rPr>
                  </w:pPr>
                  <w:r>
                    <w:rPr>
                      <w:sz w:val="16"/>
                    </w:rPr>
                    <w:t>60</w:t>
                  </w:r>
                </w:p>
              </w:tc>
              <w:tc>
                <w:tcPr>
                  <w:tcW w:w="1320" w:type="dxa"/>
                </w:tcPr>
                <w:p w14:paraId="61254D52" w14:textId="65286130" w:rsidR="003F59F3" w:rsidRDefault="003F59F3" w:rsidP="001F45CF">
                  <w:pPr>
                    <w:pStyle w:val="TableRowCentered"/>
                    <w:ind w:left="0"/>
                    <w:jc w:val="left"/>
                    <w:rPr>
                      <w:sz w:val="16"/>
                    </w:rPr>
                  </w:pPr>
                  <w:r>
                    <w:rPr>
                      <w:sz w:val="16"/>
                    </w:rPr>
                    <w:t>37.5</w:t>
                  </w:r>
                </w:p>
              </w:tc>
            </w:tr>
          </w:tbl>
          <w:p w14:paraId="7488112A" w14:textId="5B36BB8F" w:rsidR="003F59F3" w:rsidRPr="001F45CF" w:rsidRDefault="003F59F3" w:rsidP="001F45CF">
            <w:pPr>
              <w:pStyle w:val="TableRowCentered"/>
              <w:jc w:val="left"/>
              <w:rPr>
                <w:sz w:val="16"/>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77324" w14:textId="11992B1F" w:rsidR="007B2319" w:rsidRPr="007E42DA" w:rsidRDefault="00A7219B" w:rsidP="007B2319">
            <w:pPr>
              <w:pStyle w:val="TableRowCentered"/>
              <w:jc w:val="left"/>
              <w:rPr>
                <w:rFonts w:cs="Arial"/>
                <w:sz w:val="20"/>
              </w:rPr>
            </w:pPr>
            <w:r>
              <w:rPr>
                <w:rFonts w:cs="Arial"/>
                <w:sz w:val="20"/>
              </w:rPr>
              <w:t>1,3,6</w:t>
            </w:r>
            <w:r w:rsidR="00BA70EA">
              <w:rPr>
                <w:rFonts w:cs="Arial"/>
                <w:sz w:val="20"/>
              </w:rPr>
              <w:t xml:space="preserve"> SPEAK TO CATHY ABOUT A REPORT ABOUT </w:t>
            </w:r>
          </w:p>
        </w:tc>
      </w:tr>
      <w:tr w:rsidR="000E33FE" w:rsidRPr="007E42DA" w14:paraId="30EFFA7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4E4E" w14:textId="3EB4F448" w:rsidR="000E33FE" w:rsidRDefault="00B5451A">
            <w:pPr>
              <w:pStyle w:val="TableRow"/>
              <w:rPr>
                <w:rFonts w:cs="Arial"/>
                <w:i/>
                <w:sz w:val="20"/>
                <w:szCs w:val="20"/>
              </w:rPr>
            </w:pPr>
            <w:r w:rsidRPr="007E42DA">
              <w:rPr>
                <w:rFonts w:cs="Arial"/>
                <w:i/>
                <w:sz w:val="20"/>
                <w:szCs w:val="20"/>
              </w:rPr>
              <w:t xml:space="preserve">1:1 </w:t>
            </w:r>
            <w:r w:rsidR="006B17B8">
              <w:rPr>
                <w:rFonts w:cs="Arial"/>
                <w:i/>
                <w:sz w:val="20"/>
                <w:szCs w:val="20"/>
              </w:rPr>
              <w:t>and small group tuition</w:t>
            </w:r>
          </w:p>
          <w:p w14:paraId="0C9A1D98" w14:textId="77777777" w:rsidR="00B5451A" w:rsidRPr="007E42DA" w:rsidRDefault="00B5451A">
            <w:pPr>
              <w:pStyle w:val="TableRow"/>
              <w:rPr>
                <w:rFonts w:cs="Arial"/>
                <w:i/>
                <w:sz w:val="20"/>
                <w:szCs w:val="20"/>
              </w:rPr>
            </w:pPr>
          </w:p>
          <w:p w14:paraId="5F0AE2B7" w14:textId="7E158370" w:rsidR="00B5451A" w:rsidRPr="007E42DA" w:rsidRDefault="00B5451A">
            <w:pPr>
              <w:pStyle w:val="TableRow"/>
              <w:rPr>
                <w:rFonts w:cs="Arial"/>
                <w:i/>
                <w:sz w:val="20"/>
                <w:szCs w:val="20"/>
              </w:rPr>
            </w:pPr>
            <w:r w:rsidRPr="007E42DA">
              <w:rPr>
                <w:rFonts w:cs="Arial"/>
                <w:i/>
                <w:sz w:val="20"/>
                <w:szCs w:val="20"/>
              </w:rPr>
              <w:t xml:space="preserve">To accelerate the progress of identified year 3 children who are working below age related expectations in read. 1:1 Teaching of reading. </w:t>
            </w:r>
          </w:p>
          <w:p w14:paraId="170EF315" w14:textId="74BB9989" w:rsidR="00B5451A" w:rsidRPr="007E42DA" w:rsidRDefault="00B5451A">
            <w:pPr>
              <w:pStyle w:val="TableRow"/>
              <w:rPr>
                <w:rFonts w:cs="Arial"/>
                <w:i/>
                <w:sz w:val="20"/>
                <w:szCs w:val="20"/>
              </w:rPr>
            </w:pPr>
          </w:p>
          <w:p w14:paraId="5BFE19C0" w14:textId="34B88FDA" w:rsidR="00B5451A" w:rsidRPr="00F342D7" w:rsidRDefault="00F342D7">
            <w:pPr>
              <w:pStyle w:val="TableRow"/>
              <w:rPr>
                <w:rFonts w:cs="Arial"/>
                <w:b/>
                <w:i/>
                <w:sz w:val="20"/>
                <w:szCs w:val="20"/>
              </w:rPr>
            </w:pPr>
            <w:r>
              <w:rPr>
                <w:rFonts w:cs="Arial"/>
                <w:b/>
                <w:i/>
                <w:sz w:val="20"/>
                <w:szCs w:val="20"/>
              </w:rPr>
              <w:t>£4485</w:t>
            </w:r>
          </w:p>
          <w:p w14:paraId="7D927C5B" w14:textId="4531859C" w:rsidR="00400570" w:rsidRPr="00F342D7" w:rsidRDefault="00400570">
            <w:pPr>
              <w:pStyle w:val="TableRow"/>
              <w:rPr>
                <w:rFonts w:cs="Arial"/>
                <w:b/>
                <w:i/>
                <w:sz w:val="20"/>
                <w:szCs w:val="20"/>
              </w:rPr>
            </w:pPr>
            <w:r w:rsidRPr="00F342D7">
              <w:rPr>
                <w:rFonts w:cs="Arial"/>
                <w:b/>
                <w:i/>
                <w:sz w:val="20"/>
                <w:szCs w:val="20"/>
              </w:rPr>
              <w:t>Costing for</w:t>
            </w:r>
            <w:r w:rsidR="00F342D7" w:rsidRPr="00F342D7">
              <w:rPr>
                <w:rFonts w:cs="Arial"/>
                <w:b/>
                <w:i/>
                <w:sz w:val="20"/>
                <w:szCs w:val="20"/>
              </w:rPr>
              <w:t xml:space="preserve"> RB ½ day per week = £115 x 39 weeks = £4485</w:t>
            </w:r>
          </w:p>
          <w:p w14:paraId="1E7C0455" w14:textId="250F826A" w:rsidR="00B5451A" w:rsidRPr="007E42DA" w:rsidRDefault="00B5451A">
            <w:pPr>
              <w:pStyle w:val="TableRow"/>
              <w:rPr>
                <w:rFonts w:cs="Arial"/>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210E" w14:textId="77777777" w:rsidR="003F59F3" w:rsidRDefault="003F59F3" w:rsidP="003F59F3">
            <w:pPr>
              <w:pStyle w:val="TableRowCentered"/>
              <w:jc w:val="left"/>
              <w:rPr>
                <w:sz w:val="20"/>
              </w:rPr>
            </w:pPr>
            <w:r w:rsidRPr="003F59F3">
              <w:rPr>
                <w:sz w:val="20"/>
              </w:rPr>
              <w:t xml:space="preserve">Only 44% of disadvantaged pupils achieved ARE in reading at the end of KS1 compared to 71% of non-disadvantaged pupils. </w:t>
            </w:r>
          </w:p>
          <w:p w14:paraId="04F7FA98" w14:textId="77777777" w:rsidR="000E33FE" w:rsidRDefault="003F59F3" w:rsidP="00F70901">
            <w:pPr>
              <w:suppressAutoHyphens w:val="0"/>
              <w:autoSpaceDN/>
              <w:spacing w:after="160" w:line="259" w:lineRule="auto"/>
              <w:rPr>
                <w:sz w:val="20"/>
              </w:rPr>
            </w:pPr>
            <w:r w:rsidRPr="003F59F3">
              <w:rPr>
                <w:sz w:val="20"/>
              </w:rPr>
              <w:t>The gap between the disadvantaged and non-disadvantaged pupils has widened considerably since the start of the Autumn term and is concerning. Upon closer analysis of the data, it can be seen that; of the 17 disadvantaged pupils, 47% of them are also SEND. This is a far greater percentage than of the non-disadvantaged pupils of whom 5% are SEND. Analysis of this group of pupils shows that the SEND pupils who are also disadvantaged have complex needs, individualised timetables and small group/one to one support to enable them to access the curriculum.</w:t>
            </w:r>
          </w:p>
          <w:p w14:paraId="53C41A69" w14:textId="77777777" w:rsidR="005F3A95" w:rsidRDefault="005F3A95" w:rsidP="00F70901">
            <w:pPr>
              <w:suppressAutoHyphens w:val="0"/>
              <w:autoSpaceDN/>
              <w:spacing w:after="160" w:line="259" w:lineRule="auto"/>
              <w:rPr>
                <w:sz w:val="20"/>
              </w:rPr>
            </w:pPr>
          </w:p>
          <w:p w14:paraId="632B2735" w14:textId="77777777" w:rsidR="005F3A95" w:rsidRPr="005F3A95" w:rsidRDefault="005F3A95" w:rsidP="00F70901">
            <w:pPr>
              <w:suppressAutoHyphens w:val="0"/>
              <w:autoSpaceDN/>
              <w:spacing w:after="160" w:line="259" w:lineRule="auto"/>
              <w:rPr>
                <w:sz w:val="20"/>
              </w:rPr>
            </w:pPr>
            <w:r w:rsidRPr="005F3A95">
              <w:rPr>
                <w:sz w:val="20"/>
              </w:rPr>
              <w:t xml:space="preserve">Tuition targeted at specific needs and knowledge gaps can be an effective method to support low attaining pupils or those falling behind, both one-to-one and in small groups: </w:t>
            </w:r>
          </w:p>
          <w:p w14:paraId="344BE631" w14:textId="77777777" w:rsidR="005F3A95" w:rsidRDefault="00C23ABE" w:rsidP="00F70901">
            <w:pPr>
              <w:suppressAutoHyphens w:val="0"/>
              <w:autoSpaceDN/>
              <w:spacing w:after="160" w:line="259" w:lineRule="auto"/>
              <w:rPr>
                <w:rStyle w:val="Hyperlink"/>
                <w:sz w:val="22"/>
              </w:rPr>
            </w:pPr>
            <w:hyperlink r:id="rId16" w:history="1">
              <w:r w:rsidR="005F3A95" w:rsidRPr="005F3A95">
                <w:rPr>
                  <w:rStyle w:val="Hyperlink"/>
                  <w:sz w:val="22"/>
                </w:rPr>
                <w:t>Small group tuition | EEF (educationendowmentfoundation.org.uk)</w:t>
              </w:r>
            </w:hyperlink>
          </w:p>
          <w:p w14:paraId="0C28CD76" w14:textId="77777777" w:rsidR="00CC4D0E" w:rsidRDefault="00CC4D0E" w:rsidP="00CC4D0E">
            <w:pPr>
              <w:pStyle w:val="TableRowCentered"/>
              <w:jc w:val="left"/>
              <w:rPr>
                <w:sz w:val="20"/>
              </w:rPr>
            </w:pPr>
            <w:r>
              <w:rPr>
                <w:sz w:val="20"/>
              </w:rPr>
              <w:t xml:space="preserve">The 1:1 Teaching of reading is used across school to teach pupils to use strategies for developing and monitoring their reading comprehension using prediction, questioning, clarifying summarising and activating prior knowledge as recommended in the EEF guide to Improving Literacy at KS1.  </w:t>
            </w:r>
          </w:p>
          <w:p w14:paraId="145ED07B" w14:textId="77777777" w:rsidR="00CC4D0E" w:rsidRDefault="00C23ABE" w:rsidP="00CC4D0E">
            <w:pPr>
              <w:pStyle w:val="TableRowCentered"/>
              <w:jc w:val="left"/>
              <w:rPr>
                <w:sz w:val="20"/>
              </w:rPr>
            </w:pPr>
            <w:hyperlink r:id="rId17" w:history="1">
              <w:r w:rsidR="00CC4D0E" w:rsidRPr="007D433A">
                <w:rPr>
                  <w:rStyle w:val="Hyperlink"/>
                  <w:sz w:val="20"/>
                </w:rPr>
                <w:t>https://educationendowmentfoundation.org.uk/education-evidence/guidance-reports/literacy-ks-1</w:t>
              </w:r>
            </w:hyperlink>
          </w:p>
          <w:p w14:paraId="0389115B" w14:textId="3C4EC0EC" w:rsidR="00CC4D0E" w:rsidRPr="005F3A95" w:rsidRDefault="00CC4D0E" w:rsidP="00F70901">
            <w:pPr>
              <w:suppressAutoHyphens w:val="0"/>
              <w:autoSpaceDN/>
              <w:spacing w:after="160" w:line="259" w:lineRule="auto"/>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F164" w14:textId="77777777" w:rsidR="000E33FE" w:rsidRDefault="00A7219B">
            <w:pPr>
              <w:pStyle w:val="TableRowCentered"/>
              <w:jc w:val="left"/>
              <w:rPr>
                <w:rFonts w:cs="Arial"/>
                <w:sz w:val="20"/>
              </w:rPr>
            </w:pPr>
            <w:r>
              <w:rPr>
                <w:rFonts w:cs="Arial"/>
                <w:sz w:val="20"/>
              </w:rPr>
              <w:t>1,3,6</w:t>
            </w:r>
            <w:r w:rsidR="00BA70EA">
              <w:rPr>
                <w:rFonts w:cs="Arial"/>
                <w:sz w:val="20"/>
              </w:rPr>
              <w:t xml:space="preserve"> – SPEAK TO Y3 TEACHERS FOR IMPACT REPORT FOR THIS – WHERE ARE THEY NOW?</w:t>
            </w:r>
          </w:p>
          <w:p w14:paraId="37E03F7A" w14:textId="5CCFCDF3" w:rsidR="00BA70EA" w:rsidRPr="007E42DA" w:rsidRDefault="00BA70EA">
            <w:pPr>
              <w:pStyle w:val="TableRowCentered"/>
              <w:jc w:val="left"/>
              <w:rPr>
                <w:rFonts w:cs="Arial"/>
                <w:sz w:val="20"/>
              </w:rPr>
            </w:pPr>
            <w:r>
              <w:rPr>
                <w:rFonts w:cs="Arial"/>
                <w:sz w:val="20"/>
              </w:rPr>
              <w:t>CAPTURING WORK THAT THE TEACHERS ARE DOING</w:t>
            </w:r>
          </w:p>
        </w:tc>
      </w:tr>
      <w:tr w:rsidR="000E33FE" w:rsidRPr="007E42DA" w14:paraId="0423C1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718A0" w14:textId="45920D08" w:rsidR="00546C9F" w:rsidRDefault="00546C9F" w:rsidP="00F70901">
            <w:pPr>
              <w:pStyle w:val="TableRow"/>
              <w:ind w:left="0"/>
              <w:rPr>
                <w:rFonts w:cs="Arial"/>
                <w:i/>
                <w:sz w:val="20"/>
                <w:szCs w:val="20"/>
              </w:rPr>
            </w:pPr>
            <w:r w:rsidRPr="005F14DA">
              <w:rPr>
                <w:rFonts w:cs="Arial"/>
                <w:i/>
                <w:sz w:val="20"/>
                <w:szCs w:val="20"/>
              </w:rPr>
              <w:t>School-led Tuition Year 6</w:t>
            </w:r>
            <w:r>
              <w:rPr>
                <w:rFonts w:cs="Arial"/>
                <w:i/>
                <w:sz w:val="20"/>
                <w:szCs w:val="20"/>
              </w:rPr>
              <w:t xml:space="preserve"> </w:t>
            </w:r>
          </w:p>
          <w:p w14:paraId="23ADA193" w14:textId="77777777" w:rsidR="00546C9F" w:rsidRDefault="00546C9F">
            <w:pPr>
              <w:pStyle w:val="TableRow"/>
              <w:rPr>
                <w:rFonts w:cs="Arial"/>
                <w:i/>
                <w:sz w:val="20"/>
                <w:szCs w:val="20"/>
              </w:rPr>
            </w:pPr>
            <w:r>
              <w:rPr>
                <w:rFonts w:cs="Arial"/>
                <w:i/>
                <w:sz w:val="20"/>
                <w:szCs w:val="20"/>
              </w:rPr>
              <w:t>To improve outcomes for disadvantaged pupils in writing through small group and 1:1 tuition.</w:t>
            </w:r>
          </w:p>
          <w:p w14:paraId="044CF2D0" w14:textId="77777777" w:rsidR="00F70901" w:rsidRDefault="00F70901">
            <w:pPr>
              <w:pStyle w:val="TableRow"/>
              <w:rPr>
                <w:rFonts w:cs="Arial"/>
                <w:i/>
                <w:sz w:val="20"/>
                <w:szCs w:val="20"/>
              </w:rPr>
            </w:pPr>
          </w:p>
          <w:p w14:paraId="62EFBD7F" w14:textId="434806C3" w:rsidR="00F70901" w:rsidRPr="00F342D7" w:rsidRDefault="00F70901">
            <w:pPr>
              <w:pStyle w:val="TableRow"/>
              <w:rPr>
                <w:rFonts w:cs="Arial"/>
                <w:i/>
                <w:sz w:val="20"/>
                <w:szCs w:val="20"/>
              </w:rPr>
            </w:pPr>
            <w:r w:rsidRPr="00F342D7">
              <w:rPr>
                <w:rFonts w:cs="Arial"/>
                <w:i/>
                <w:sz w:val="20"/>
                <w:szCs w:val="20"/>
              </w:rPr>
              <w:t xml:space="preserve">Costing for AT – 1 day in year 6 small group </w:t>
            </w:r>
            <w:r w:rsidR="00F342D7" w:rsidRPr="00F342D7">
              <w:rPr>
                <w:rFonts w:cs="Arial"/>
                <w:i/>
                <w:sz w:val="20"/>
                <w:szCs w:val="20"/>
              </w:rPr>
              <w:t xml:space="preserve">tutoring. </w:t>
            </w:r>
            <w:r w:rsidR="00F342D7" w:rsidRPr="00F342D7">
              <w:rPr>
                <w:rFonts w:cs="Arial"/>
                <w:b/>
                <w:i/>
                <w:sz w:val="20"/>
                <w:szCs w:val="20"/>
              </w:rPr>
              <w:t>£3780</w:t>
            </w:r>
            <w:r w:rsidR="00400570" w:rsidRPr="00F342D7">
              <w:rPr>
                <w:rFonts w:cs="Arial"/>
                <w:b/>
                <w:i/>
                <w:sz w:val="20"/>
                <w:szCs w:val="20"/>
              </w:rPr>
              <w:t xml:space="preserve"> (Autumn 2 - Nov – July)</w:t>
            </w:r>
          </w:p>
          <w:p w14:paraId="7F62142A" w14:textId="77777777" w:rsidR="00F70901" w:rsidRDefault="00F70901">
            <w:pPr>
              <w:pStyle w:val="TableRow"/>
              <w:rPr>
                <w:rFonts w:cs="Arial"/>
                <w:i/>
                <w:sz w:val="20"/>
                <w:szCs w:val="20"/>
                <w:highlight w:val="yellow"/>
              </w:rPr>
            </w:pPr>
          </w:p>
          <w:p w14:paraId="4CFBE6FA" w14:textId="77777777" w:rsidR="00F70901" w:rsidRDefault="00F70901">
            <w:pPr>
              <w:pStyle w:val="TableRow"/>
              <w:rPr>
                <w:rFonts w:cs="Arial"/>
                <w:i/>
                <w:sz w:val="20"/>
                <w:szCs w:val="20"/>
                <w:highlight w:val="yellow"/>
              </w:rPr>
            </w:pPr>
          </w:p>
          <w:p w14:paraId="1C1B367C" w14:textId="77777777" w:rsidR="00F70901" w:rsidRDefault="00F70901" w:rsidP="00F70901">
            <w:pPr>
              <w:pStyle w:val="TableRow"/>
              <w:rPr>
                <w:rFonts w:cs="Arial"/>
                <w:i/>
                <w:sz w:val="20"/>
                <w:szCs w:val="20"/>
              </w:rPr>
            </w:pPr>
            <w:r w:rsidRPr="007E42DA">
              <w:rPr>
                <w:rFonts w:cs="Arial"/>
                <w:i/>
                <w:sz w:val="20"/>
                <w:szCs w:val="20"/>
              </w:rPr>
              <w:t xml:space="preserve">Academic tutor in KS2 to secure accelerate progress of identified children  - writing focus. </w:t>
            </w:r>
          </w:p>
          <w:p w14:paraId="5B05E6F9" w14:textId="77777777" w:rsidR="00F70901" w:rsidRPr="007E42DA" w:rsidRDefault="00F70901" w:rsidP="00F70901">
            <w:pPr>
              <w:pStyle w:val="TableRow"/>
              <w:rPr>
                <w:rFonts w:cs="Arial"/>
                <w:i/>
                <w:sz w:val="20"/>
                <w:szCs w:val="20"/>
              </w:rPr>
            </w:pPr>
          </w:p>
          <w:p w14:paraId="0C7AB394" w14:textId="77777777" w:rsidR="00F70901" w:rsidRPr="007E42DA" w:rsidRDefault="00F70901" w:rsidP="00F70901">
            <w:pPr>
              <w:pStyle w:val="TableRow"/>
              <w:rPr>
                <w:rFonts w:cs="Arial"/>
                <w:i/>
                <w:sz w:val="20"/>
                <w:szCs w:val="20"/>
              </w:rPr>
            </w:pPr>
          </w:p>
          <w:p w14:paraId="3084EF27" w14:textId="77777777" w:rsidR="00F342D7" w:rsidRPr="00F342D7" w:rsidRDefault="00F70901" w:rsidP="00F70901">
            <w:pPr>
              <w:pStyle w:val="TableRow"/>
              <w:rPr>
                <w:rFonts w:cs="Arial"/>
                <w:b/>
                <w:i/>
                <w:sz w:val="20"/>
                <w:szCs w:val="20"/>
              </w:rPr>
            </w:pPr>
            <w:r w:rsidRPr="00F342D7">
              <w:rPr>
                <w:rFonts w:cs="Arial"/>
                <w:b/>
                <w:i/>
                <w:sz w:val="20"/>
                <w:szCs w:val="20"/>
              </w:rPr>
              <w:t>COSTING? We pay 5% of £19,000 salary plus on costs.</w:t>
            </w:r>
          </w:p>
          <w:p w14:paraId="5A47F56D" w14:textId="48D778A1" w:rsidR="00F70901" w:rsidRPr="00F342D7" w:rsidRDefault="00F342D7" w:rsidP="00F70901">
            <w:pPr>
              <w:pStyle w:val="TableRow"/>
              <w:rPr>
                <w:rFonts w:cs="Arial"/>
                <w:b/>
                <w:i/>
                <w:sz w:val="20"/>
                <w:szCs w:val="20"/>
              </w:rPr>
            </w:pPr>
            <w:r w:rsidRPr="00F342D7">
              <w:rPr>
                <w:rFonts w:cs="Arial"/>
                <w:b/>
                <w:i/>
                <w:sz w:val="20"/>
                <w:szCs w:val="20"/>
              </w:rPr>
              <w:t>£1250</w:t>
            </w:r>
            <w:r w:rsidR="00F70901" w:rsidRPr="00F342D7">
              <w:rPr>
                <w:rFonts w:cs="Arial"/>
                <w:b/>
                <w:i/>
                <w:sz w:val="20"/>
                <w:szCs w:val="20"/>
              </w:rPr>
              <w:t xml:space="preserve">  </w:t>
            </w:r>
          </w:p>
          <w:p w14:paraId="0167BA10" w14:textId="017C2F0A" w:rsidR="00F70901" w:rsidRPr="007E42DA" w:rsidRDefault="00F70901">
            <w:pPr>
              <w:pStyle w:val="TableRow"/>
              <w:rPr>
                <w:rFonts w:cs="Arial"/>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98D1D" w14:textId="77777777" w:rsidR="003D17B2" w:rsidRDefault="005821C5" w:rsidP="003D17B2">
            <w:pPr>
              <w:pStyle w:val="TableRowCentered"/>
              <w:ind w:left="0"/>
              <w:jc w:val="left"/>
              <w:rPr>
                <w:rFonts w:cs="Arial"/>
                <w:color w:val="auto"/>
                <w:sz w:val="20"/>
              </w:rPr>
            </w:pPr>
            <w:r w:rsidRPr="003D17B2">
              <w:rPr>
                <w:rFonts w:cs="Arial"/>
                <w:color w:val="auto"/>
                <w:sz w:val="20"/>
              </w:rPr>
              <w:t xml:space="preserve">End of KS2 writing outcomes – </w:t>
            </w:r>
            <w:r w:rsidR="003D17B2" w:rsidRPr="003D17B2">
              <w:rPr>
                <w:rFonts w:cs="Arial"/>
                <w:color w:val="auto"/>
                <w:sz w:val="20"/>
              </w:rPr>
              <w:t xml:space="preserve">The “headline” attainment measures at the end of KS2 show that </w:t>
            </w:r>
            <w:r w:rsidR="00824073" w:rsidRPr="003D17B2">
              <w:rPr>
                <w:rFonts w:cs="Arial"/>
                <w:color w:val="auto"/>
                <w:sz w:val="20"/>
              </w:rPr>
              <w:t>56% of DP achieved ARE in writing compared to 73.5% of non DP</w:t>
            </w:r>
            <w:r w:rsidR="003D17B2" w:rsidRPr="003D17B2">
              <w:rPr>
                <w:rFonts w:cs="Arial"/>
                <w:color w:val="auto"/>
                <w:sz w:val="20"/>
              </w:rPr>
              <w:t>. Meaning writing is the biggest limiting factor in allow our disadvantaged pupils to achieve ARE combined.</w:t>
            </w:r>
          </w:p>
          <w:p w14:paraId="42430167" w14:textId="77777777" w:rsidR="003D17B2" w:rsidRDefault="003D17B2" w:rsidP="003D17B2">
            <w:pPr>
              <w:pStyle w:val="TableRowCentered"/>
              <w:ind w:left="0"/>
              <w:jc w:val="left"/>
              <w:rPr>
                <w:rFonts w:cs="Arial"/>
                <w:color w:val="auto"/>
                <w:sz w:val="20"/>
              </w:rPr>
            </w:pPr>
          </w:p>
          <w:p w14:paraId="27225167" w14:textId="77777777" w:rsidR="00F70901" w:rsidRDefault="00F70901" w:rsidP="003D17B2">
            <w:pPr>
              <w:pStyle w:val="TableRowCentered"/>
              <w:jc w:val="left"/>
              <w:rPr>
                <w:rFonts w:cs="Arial"/>
                <w:b/>
                <w:sz w:val="20"/>
              </w:rPr>
            </w:pPr>
          </w:p>
          <w:p w14:paraId="325A4BC3" w14:textId="77777777" w:rsidR="00F70901" w:rsidRDefault="00F70901" w:rsidP="00F70901">
            <w:pPr>
              <w:pStyle w:val="TableRowCentered"/>
              <w:ind w:left="0"/>
              <w:jc w:val="left"/>
              <w:rPr>
                <w:rFonts w:cs="Arial"/>
                <w:b/>
                <w:sz w:val="20"/>
              </w:rPr>
            </w:pPr>
          </w:p>
          <w:p w14:paraId="6ED096CC" w14:textId="77777777" w:rsidR="00F70901" w:rsidRDefault="00F70901" w:rsidP="003D17B2">
            <w:pPr>
              <w:pStyle w:val="TableRowCentered"/>
              <w:jc w:val="left"/>
              <w:rPr>
                <w:rFonts w:cs="Arial"/>
                <w:b/>
                <w:sz w:val="20"/>
              </w:rPr>
            </w:pPr>
          </w:p>
          <w:p w14:paraId="1AE0031E" w14:textId="4698CBD5" w:rsidR="003D17B2" w:rsidRPr="003D17B2" w:rsidRDefault="003D17B2" w:rsidP="003D17B2">
            <w:pPr>
              <w:pStyle w:val="TableRowCentered"/>
              <w:jc w:val="left"/>
              <w:rPr>
                <w:rFonts w:cs="Arial"/>
                <w:b/>
                <w:sz w:val="20"/>
              </w:rPr>
            </w:pPr>
            <w:r w:rsidRPr="003D17B2">
              <w:rPr>
                <w:rFonts w:cs="Arial"/>
                <w:b/>
                <w:sz w:val="20"/>
              </w:rPr>
              <w:t>KS2 in school data - % of children achieving ARE in writing across KS2</w:t>
            </w:r>
            <w:r>
              <w:rPr>
                <w:rFonts w:cs="Arial"/>
                <w:b/>
                <w:sz w:val="20"/>
              </w:rPr>
              <w:t xml:space="preserve"> summer 2021</w:t>
            </w:r>
            <w:r w:rsidRPr="003D17B2">
              <w:rPr>
                <w:rFonts w:cs="Arial"/>
                <w:b/>
                <w:sz w:val="20"/>
              </w:rPr>
              <w:t>.</w:t>
            </w:r>
          </w:p>
          <w:p w14:paraId="1ABE316F" w14:textId="4236EFA2" w:rsidR="003D17B2" w:rsidRDefault="003D17B2" w:rsidP="003D17B2">
            <w:pPr>
              <w:pStyle w:val="TableRowCentered"/>
              <w:ind w:left="0"/>
              <w:jc w:val="left"/>
              <w:rPr>
                <w:rFonts w:cs="Arial"/>
                <w:sz w:val="20"/>
              </w:rPr>
            </w:pPr>
          </w:p>
          <w:tbl>
            <w:tblPr>
              <w:tblStyle w:val="TableGrid"/>
              <w:tblW w:w="0" w:type="auto"/>
              <w:tblInd w:w="57" w:type="dxa"/>
              <w:tblLook w:val="04A0" w:firstRow="1" w:lastRow="0" w:firstColumn="1" w:lastColumn="0" w:noHBand="0" w:noVBand="1"/>
            </w:tblPr>
            <w:tblGrid>
              <w:gridCol w:w="728"/>
              <w:gridCol w:w="1608"/>
              <w:gridCol w:w="1575"/>
              <w:gridCol w:w="1173"/>
            </w:tblGrid>
            <w:tr w:rsidR="005669B3" w14:paraId="3242847A" w14:textId="613D8541" w:rsidTr="005669B3">
              <w:tc>
                <w:tcPr>
                  <w:tcW w:w="728" w:type="dxa"/>
                </w:tcPr>
                <w:p w14:paraId="616730AB" w14:textId="77777777" w:rsidR="005669B3" w:rsidRDefault="005669B3" w:rsidP="003D17B2">
                  <w:pPr>
                    <w:pStyle w:val="TableRowCentered"/>
                    <w:ind w:left="0"/>
                    <w:jc w:val="left"/>
                    <w:rPr>
                      <w:rFonts w:cs="Arial"/>
                      <w:sz w:val="20"/>
                    </w:rPr>
                  </w:pPr>
                </w:p>
              </w:tc>
              <w:tc>
                <w:tcPr>
                  <w:tcW w:w="1608" w:type="dxa"/>
                </w:tcPr>
                <w:p w14:paraId="4EC30B3A" w14:textId="0E013368" w:rsidR="005669B3" w:rsidRDefault="005669B3" w:rsidP="003D17B2">
                  <w:pPr>
                    <w:pStyle w:val="TableRowCentered"/>
                    <w:ind w:left="0"/>
                    <w:jc w:val="left"/>
                    <w:rPr>
                      <w:rFonts w:cs="Arial"/>
                      <w:sz w:val="20"/>
                    </w:rPr>
                  </w:pPr>
                  <w:r>
                    <w:rPr>
                      <w:rFonts w:cs="Arial"/>
                      <w:sz w:val="20"/>
                    </w:rPr>
                    <w:t>Disadvantaged</w:t>
                  </w:r>
                </w:p>
              </w:tc>
              <w:tc>
                <w:tcPr>
                  <w:tcW w:w="1575" w:type="dxa"/>
                </w:tcPr>
                <w:p w14:paraId="2B929A9F" w14:textId="0C2F3BDB" w:rsidR="005669B3" w:rsidRDefault="005669B3" w:rsidP="003D17B2">
                  <w:pPr>
                    <w:pStyle w:val="TableRowCentered"/>
                    <w:ind w:left="0"/>
                    <w:jc w:val="left"/>
                    <w:rPr>
                      <w:rFonts w:cs="Arial"/>
                      <w:sz w:val="20"/>
                    </w:rPr>
                  </w:pPr>
                  <w:r>
                    <w:rPr>
                      <w:rFonts w:cs="Arial"/>
                      <w:sz w:val="20"/>
                    </w:rPr>
                    <w:t>Non-disadvantaged</w:t>
                  </w:r>
                </w:p>
              </w:tc>
              <w:tc>
                <w:tcPr>
                  <w:tcW w:w="1173" w:type="dxa"/>
                </w:tcPr>
                <w:p w14:paraId="102DEF20" w14:textId="51E7A5CB" w:rsidR="005669B3" w:rsidRDefault="005669B3" w:rsidP="003D17B2">
                  <w:pPr>
                    <w:pStyle w:val="TableRowCentered"/>
                    <w:ind w:left="0"/>
                    <w:jc w:val="left"/>
                    <w:rPr>
                      <w:rFonts w:cs="Arial"/>
                      <w:sz w:val="20"/>
                    </w:rPr>
                  </w:pPr>
                  <w:r>
                    <w:rPr>
                      <w:rFonts w:cs="Arial"/>
                      <w:sz w:val="20"/>
                    </w:rPr>
                    <w:t>GAP</w:t>
                  </w:r>
                </w:p>
              </w:tc>
            </w:tr>
            <w:tr w:rsidR="005669B3" w14:paraId="47BF05D9" w14:textId="31D147EA" w:rsidTr="005669B3">
              <w:tc>
                <w:tcPr>
                  <w:tcW w:w="728" w:type="dxa"/>
                </w:tcPr>
                <w:p w14:paraId="3CE1176F" w14:textId="5D627BDF" w:rsidR="005669B3" w:rsidRDefault="005669B3" w:rsidP="003D17B2">
                  <w:pPr>
                    <w:pStyle w:val="TableRowCentered"/>
                    <w:ind w:left="0"/>
                    <w:jc w:val="left"/>
                    <w:rPr>
                      <w:rFonts w:cs="Arial"/>
                      <w:sz w:val="20"/>
                    </w:rPr>
                  </w:pPr>
                  <w:r>
                    <w:rPr>
                      <w:rFonts w:cs="Arial"/>
                      <w:sz w:val="20"/>
                    </w:rPr>
                    <w:t>Yr3</w:t>
                  </w:r>
                </w:p>
              </w:tc>
              <w:tc>
                <w:tcPr>
                  <w:tcW w:w="1608" w:type="dxa"/>
                </w:tcPr>
                <w:p w14:paraId="224CD25F" w14:textId="36FDFF22" w:rsidR="005669B3" w:rsidRDefault="005669B3" w:rsidP="003D17B2">
                  <w:pPr>
                    <w:pStyle w:val="TableRowCentered"/>
                    <w:ind w:left="0"/>
                    <w:jc w:val="left"/>
                    <w:rPr>
                      <w:rFonts w:cs="Arial"/>
                      <w:sz w:val="20"/>
                    </w:rPr>
                  </w:pPr>
                  <w:r>
                    <w:rPr>
                      <w:rFonts w:cs="Arial"/>
                      <w:sz w:val="20"/>
                    </w:rPr>
                    <w:t>44%</w:t>
                  </w:r>
                </w:p>
              </w:tc>
              <w:tc>
                <w:tcPr>
                  <w:tcW w:w="1575" w:type="dxa"/>
                </w:tcPr>
                <w:p w14:paraId="782F4034" w14:textId="69F8D259" w:rsidR="005669B3" w:rsidRDefault="005669B3" w:rsidP="003D17B2">
                  <w:pPr>
                    <w:pStyle w:val="TableRowCentered"/>
                    <w:ind w:left="0"/>
                    <w:jc w:val="left"/>
                    <w:rPr>
                      <w:rFonts w:cs="Arial"/>
                      <w:sz w:val="20"/>
                    </w:rPr>
                  </w:pPr>
                  <w:r>
                    <w:rPr>
                      <w:rFonts w:cs="Arial"/>
                      <w:sz w:val="20"/>
                    </w:rPr>
                    <w:t>66%</w:t>
                  </w:r>
                </w:p>
              </w:tc>
              <w:tc>
                <w:tcPr>
                  <w:tcW w:w="1173" w:type="dxa"/>
                </w:tcPr>
                <w:p w14:paraId="44C0A151" w14:textId="419FFF8D" w:rsidR="005669B3" w:rsidRDefault="005669B3" w:rsidP="003D17B2">
                  <w:pPr>
                    <w:pStyle w:val="TableRowCentered"/>
                    <w:ind w:left="0"/>
                    <w:jc w:val="left"/>
                    <w:rPr>
                      <w:rFonts w:cs="Arial"/>
                      <w:sz w:val="20"/>
                    </w:rPr>
                  </w:pPr>
                  <w:r>
                    <w:rPr>
                      <w:rFonts w:cs="Arial"/>
                      <w:sz w:val="20"/>
                    </w:rPr>
                    <w:t>-22%</w:t>
                  </w:r>
                </w:p>
              </w:tc>
            </w:tr>
            <w:tr w:rsidR="005669B3" w14:paraId="731471A9" w14:textId="422F7948" w:rsidTr="005669B3">
              <w:tc>
                <w:tcPr>
                  <w:tcW w:w="728" w:type="dxa"/>
                </w:tcPr>
                <w:p w14:paraId="06503286" w14:textId="1E1F0CEC" w:rsidR="005669B3" w:rsidRDefault="005669B3" w:rsidP="00F70901">
                  <w:pPr>
                    <w:pStyle w:val="TableRowCentered"/>
                    <w:ind w:left="0"/>
                    <w:jc w:val="left"/>
                    <w:rPr>
                      <w:rFonts w:cs="Arial"/>
                      <w:sz w:val="20"/>
                    </w:rPr>
                  </w:pPr>
                  <w:r>
                    <w:rPr>
                      <w:rFonts w:cs="Arial"/>
                      <w:sz w:val="20"/>
                    </w:rPr>
                    <w:t>Yr4</w:t>
                  </w:r>
                </w:p>
              </w:tc>
              <w:tc>
                <w:tcPr>
                  <w:tcW w:w="1608" w:type="dxa"/>
                </w:tcPr>
                <w:p w14:paraId="4DAEE63E" w14:textId="62599281" w:rsidR="005669B3" w:rsidRDefault="005669B3" w:rsidP="00F70901">
                  <w:pPr>
                    <w:pStyle w:val="TableRowCentered"/>
                    <w:ind w:left="0"/>
                    <w:jc w:val="left"/>
                    <w:rPr>
                      <w:rFonts w:cs="Arial"/>
                      <w:sz w:val="20"/>
                    </w:rPr>
                  </w:pPr>
                  <w:r>
                    <w:rPr>
                      <w:rFonts w:cs="Arial"/>
                      <w:sz w:val="20"/>
                    </w:rPr>
                    <w:t>23%</w:t>
                  </w:r>
                </w:p>
              </w:tc>
              <w:tc>
                <w:tcPr>
                  <w:tcW w:w="1575" w:type="dxa"/>
                </w:tcPr>
                <w:p w14:paraId="49C3AEC4" w14:textId="21563ACD" w:rsidR="005669B3" w:rsidRDefault="005669B3" w:rsidP="00F70901">
                  <w:pPr>
                    <w:pStyle w:val="TableRowCentered"/>
                    <w:ind w:left="0"/>
                    <w:jc w:val="left"/>
                    <w:rPr>
                      <w:rFonts w:cs="Arial"/>
                      <w:sz w:val="20"/>
                    </w:rPr>
                  </w:pPr>
                  <w:r>
                    <w:rPr>
                      <w:rFonts w:cs="Arial"/>
                      <w:sz w:val="20"/>
                    </w:rPr>
                    <w:t>45%</w:t>
                  </w:r>
                </w:p>
              </w:tc>
              <w:tc>
                <w:tcPr>
                  <w:tcW w:w="1173" w:type="dxa"/>
                </w:tcPr>
                <w:p w14:paraId="324C90E7" w14:textId="0EBED93F" w:rsidR="005669B3" w:rsidRDefault="005669B3" w:rsidP="00F70901">
                  <w:pPr>
                    <w:pStyle w:val="TableRowCentered"/>
                    <w:ind w:left="0"/>
                    <w:jc w:val="left"/>
                    <w:rPr>
                      <w:rFonts w:cs="Arial"/>
                      <w:sz w:val="20"/>
                    </w:rPr>
                  </w:pPr>
                  <w:r>
                    <w:rPr>
                      <w:rFonts w:cs="Arial"/>
                      <w:sz w:val="20"/>
                    </w:rPr>
                    <w:t>-22%</w:t>
                  </w:r>
                </w:p>
              </w:tc>
            </w:tr>
            <w:tr w:rsidR="005669B3" w14:paraId="11D71F5C" w14:textId="532E9AAE" w:rsidTr="005669B3">
              <w:tc>
                <w:tcPr>
                  <w:tcW w:w="728" w:type="dxa"/>
                </w:tcPr>
                <w:p w14:paraId="72596624" w14:textId="6433C56E" w:rsidR="005669B3" w:rsidRDefault="005669B3" w:rsidP="00F70901">
                  <w:pPr>
                    <w:pStyle w:val="TableRowCentered"/>
                    <w:ind w:left="0"/>
                    <w:jc w:val="left"/>
                    <w:rPr>
                      <w:rFonts w:cs="Arial"/>
                      <w:sz w:val="20"/>
                    </w:rPr>
                  </w:pPr>
                  <w:r>
                    <w:rPr>
                      <w:rFonts w:cs="Arial"/>
                      <w:sz w:val="20"/>
                    </w:rPr>
                    <w:t>Yr5</w:t>
                  </w:r>
                </w:p>
              </w:tc>
              <w:tc>
                <w:tcPr>
                  <w:tcW w:w="1608" w:type="dxa"/>
                </w:tcPr>
                <w:p w14:paraId="6AB055C2" w14:textId="041A9F72" w:rsidR="005669B3" w:rsidRDefault="005669B3" w:rsidP="00F70901">
                  <w:pPr>
                    <w:pStyle w:val="TableRowCentered"/>
                    <w:ind w:left="0"/>
                    <w:jc w:val="left"/>
                    <w:rPr>
                      <w:rFonts w:cs="Arial"/>
                      <w:sz w:val="20"/>
                    </w:rPr>
                  </w:pPr>
                  <w:r>
                    <w:rPr>
                      <w:rFonts w:cs="Arial"/>
                      <w:sz w:val="20"/>
                    </w:rPr>
                    <w:t>48%</w:t>
                  </w:r>
                </w:p>
              </w:tc>
              <w:tc>
                <w:tcPr>
                  <w:tcW w:w="1575" w:type="dxa"/>
                </w:tcPr>
                <w:p w14:paraId="09D6D5DC" w14:textId="0C638B25" w:rsidR="005669B3" w:rsidRDefault="005669B3" w:rsidP="00F70901">
                  <w:pPr>
                    <w:pStyle w:val="TableRowCentered"/>
                    <w:ind w:left="0"/>
                    <w:jc w:val="left"/>
                    <w:rPr>
                      <w:rFonts w:cs="Arial"/>
                      <w:sz w:val="20"/>
                    </w:rPr>
                  </w:pPr>
                  <w:r>
                    <w:rPr>
                      <w:rFonts w:cs="Arial"/>
                      <w:sz w:val="20"/>
                    </w:rPr>
                    <w:t>51%</w:t>
                  </w:r>
                </w:p>
              </w:tc>
              <w:tc>
                <w:tcPr>
                  <w:tcW w:w="1173" w:type="dxa"/>
                </w:tcPr>
                <w:p w14:paraId="3DF0F408" w14:textId="3F9AEF28" w:rsidR="005669B3" w:rsidRDefault="005669B3" w:rsidP="00F70901">
                  <w:pPr>
                    <w:pStyle w:val="TableRowCentered"/>
                    <w:ind w:left="0"/>
                    <w:jc w:val="left"/>
                    <w:rPr>
                      <w:rFonts w:cs="Arial"/>
                      <w:sz w:val="20"/>
                    </w:rPr>
                  </w:pPr>
                  <w:r>
                    <w:rPr>
                      <w:rFonts w:cs="Arial"/>
                      <w:sz w:val="20"/>
                    </w:rPr>
                    <w:t>-3%</w:t>
                  </w:r>
                </w:p>
              </w:tc>
            </w:tr>
            <w:tr w:rsidR="005669B3" w14:paraId="13975055" w14:textId="495277A1" w:rsidTr="005669B3">
              <w:tc>
                <w:tcPr>
                  <w:tcW w:w="728" w:type="dxa"/>
                </w:tcPr>
                <w:p w14:paraId="04DAB603" w14:textId="41D5019A" w:rsidR="005669B3" w:rsidRDefault="005669B3" w:rsidP="00F70901">
                  <w:pPr>
                    <w:pStyle w:val="TableRowCentered"/>
                    <w:ind w:left="0"/>
                    <w:jc w:val="left"/>
                    <w:rPr>
                      <w:rFonts w:cs="Arial"/>
                      <w:sz w:val="20"/>
                    </w:rPr>
                  </w:pPr>
                  <w:r>
                    <w:rPr>
                      <w:rFonts w:cs="Arial"/>
                      <w:sz w:val="20"/>
                    </w:rPr>
                    <w:t>Yr6</w:t>
                  </w:r>
                </w:p>
              </w:tc>
              <w:tc>
                <w:tcPr>
                  <w:tcW w:w="1608" w:type="dxa"/>
                </w:tcPr>
                <w:p w14:paraId="55853D4C" w14:textId="61DDBCCB" w:rsidR="005669B3" w:rsidRDefault="005669B3" w:rsidP="00F70901">
                  <w:pPr>
                    <w:pStyle w:val="TableRowCentered"/>
                    <w:ind w:left="0"/>
                    <w:jc w:val="left"/>
                    <w:rPr>
                      <w:rFonts w:cs="Arial"/>
                      <w:sz w:val="20"/>
                    </w:rPr>
                  </w:pPr>
                  <w:r>
                    <w:rPr>
                      <w:rFonts w:cs="Arial"/>
                      <w:sz w:val="20"/>
                    </w:rPr>
                    <w:t>41%</w:t>
                  </w:r>
                </w:p>
              </w:tc>
              <w:tc>
                <w:tcPr>
                  <w:tcW w:w="1575" w:type="dxa"/>
                </w:tcPr>
                <w:p w14:paraId="738D6CE4" w14:textId="12A093FC" w:rsidR="005669B3" w:rsidRDefault="005669B3" w:rsidP="00F70901">
                  <w:pPr>
                    <w:pStyle w:val="TableRowCentered"/>
                    <w:ind w:left="0"/>
                    <w:jc w:val="left"/>
                    <w:rPr>
                      <w:rFonts w:cs="Arial"/>
                      <w:sz w:val="20"/>
                    </w:rPr>
                  </w:pPr>
                  <w:r>
                    <w:rPr>
                      <w:rFonts w:cs="Arial"/>
                      <w:sz w:val="20"/>
                    </w:rPr>
                    <w:t>60%</w:t>
                  </w:r>
                </w:p>
              </w:tc>
              <w:tc>
                <w:tcPr>
                  <w:tcW w:w="1173" w:type="dxa"/>
                </w:tcPr>
                <w:p w14:paraId="7BC432A0" w14:textId="22787C8A" w:rsidR="005669B3" w:rsidRDefault="005669B3" w:rsidP="00F70901">
                  <w:pPr>
                    <w:pStyle w:val="TableRowCentered"/>
                    <w:ind w:left="0"/>
                    <w:jc w:val="left"/>
                    <w:rPr>
                      <w:rFonts w:cs="Arial"/>
                      <w:sz w:val="20"/>
                    </w:rPr>
                  </w:pPr>
                  <w:r>
                    <w:rPr>
                      <w:rFonts w:cs="Arial"/>
                      <w:sz w:val="20"/>
                    </w:rPr>
                    <w:t>-19%</w:t>
                  </w:r>
                </w:p>
              </w:tc>
            </w:tr>
          </w:tbl>
          <w:p w14:paraId="56DE5FB1" w14:textId="1A09513D" w:rsidR="00F70901" w:rsidRPr="00F70901" w:rsidRDefault="00F70901" w:rsidP="00F70901">
            <w:pPr>
              <w:suppressAutoHyphens w:val="0"/>
              <w:autoSpaceDN/>
              <w:spacing w:after="160" w:line="259" w:lineRule="auto"/>
              <w:rPr>
                <w:b/>
                <w:sz w:val="20"/>
              </w:rPr>
            </w:pPr>
            <w:r w:rsidRPr="00F70901">
              <w:rPr>
                <w:b/>
                <w:sz w:val="20"/>
              </w:rPr>
              <w:t>Year 3:</w:t>
            </w:r>
          </w:p>
          <w:p w14:paraId="41213480" w14:textId="4A5E4D4E" w:rsidR="00F70901" w:rsidRPr="00F70901" w:rsidRDefault="00F70901" w:rsidP="00F70901">
            <w:pPr>
              <w:pStyle w:val="ListParagraph"/>
              <w:numPr>
                <w:ilvl w:val="0"/>
                <w:numId w:val="26"/>
              </w:numPr>
              <w:tabs>
                <w:tab w:val="left" w:pos="6456"/>
              </w:tabs>
              <w:suppressAutoHyphens w:val="0"/>
              <w:autoSpaceDN/>
              <w:spacing w:after="160" w:line="259" w:lineRule="auto"/>
              <w:rPr>
                <w:sz w:val="20"/>
              </w:rPr>
            </w:pPr>
            <w:r w:rsidRPr="00F70901">
              <w:rPr>
                <w:sz w:val="20"/>
              </w:rPr>
              <w:t xml:space="preserve">The National Tutoring Programme has had a positive impact on writing outcomes for these children when they were in year 2. 16 of the pupils who were not ‘R’ at the start of the academic year were targeted. 69% of these pupils made accelerated progress and went on to achieve EXS in writing. </w:t>
            </w:r>
          </w:p>
          <w:p w14:paraId="396E1BDA" w14:textId="3CD3BE97" w:rsidR="00F70901" w:rsidRPr="00F70901" w:rsidRDefault="00F70901" w:rsidP="00F70901">
            <w:pPr>
              <w:pStyle w:val="ListParagraph"/>
              <w:numPr>
                <w:ilvl w:val="0"/>
                <w:numId w:val="26"/>
              </w:numPr>
              <w:suppressAutoHyphens w:val="0"/>
              <w:autoSpaceDN/>
              <w:spacing w:after="160" w:line="300" w:lineRule="auto"/>
              <w:rPr>
                <w:rFonts w:cstheme="minorHAnsi"/>
                <w:sz w:val="20"/>
              </w:rPr>
            </w:pPr>
            <w:r w:rsidRPr="00F70901">
              <w:rPr>
                <w:rFonts w:cstheme="minorHAnsi"/>
                <w:sz w:val="20"/>
              </w:rPr>
              <w:t>Disadvantaged pupils are doing less well in their writing than the non-disadvantaged pupils. If the disadvantaged pupils who are not SEND are considered, 78%. No disadvantaged pupils achieved GDS in writing.</w:t>
            </w:r>
          </w:p>
          <w:p w14:paraId="403804B7" w14:textId="3245C39D" w:rsidR="003D17B2" w:rsidRPr="00F70901" w:rsidRDefault="00F70901" w:rsidP="00F70901">
            <w:pPr>
              <w:suppressAutoHyphens w:val="0"/>
              <w:autoSpaceDN/>
              <w:spacing w:after="160" w:line="259" w:lineRule="auto"/>
              <w:rPr>
                <w:b/>
                <w:sz w:val="20"/>
              </w:rPr>
            </w:pPr>
            <w:r w:rsidRPr="00F70901">
              <w:rPr>
                <w:b/>
                <w:sz w:val="20"/>
              </w:rPr>
              <w:t>Year 4</w:t>
            </w:r>
            <w:r w:rsidR="003D17B2" w:rsidRPr="00F70901">
              <w:rPr>
                <w:b/>
                <w:sz w:val="20"/>
              </w:rPr>
              <w:t>:</w:t>
            </w:r>
          </w:p>
          <w:p w14:paraId="14897703" w14:textId="02901BEE" w:rsidR="003D17B2" w:rsidRPr="00F70901" w:rsidRDefault="003D17B2" w:rsidP="00F70901">
            <w:pPr>
              <w:pStyle w:val="ListParagraph"/>
              <w:numPr>
                <w:ilvl w:val="0"/>
                <w:numId w:val="28"/>
              </w:numPr>
              <w:suppressAutoHyphens w:val="0"/>
              <w:autoSpaceDN/>
              <w:spacing w:after="160" w:line="259" w:lineRule="auto"/>
              <w:rPr>
                <w:sz w:val="20"/>
              </w:rPr>
            </w:pPr>
            <w:r w:rsidRPr="00F70901">
              <w:rPr>
                <w:sz w:val="20"/>
              </w:rPr>
              <w:t>Writing levels in</w:t>
            </w:r>
            <w:r w:rsidR="00F70901" w:rsidRPr="00F70901">
              <w:rPr>
                <w:sz w:val="20"/>
              </w:rPr>
              <w:t xml:space="preserve"> the current</w:t>
            </w:r>
            <w:r w:rsidRPr="00F70901">
              <w:rPr>
                <w:sz w:val="20"/>
              </w:rPr>
              <w:t xml:space="preserve"> </w:t>
            </w:r>
            <w:r w:rsidR="00F70901" w:rsidRPr="00F70901">
              <w:rPr>
                <w:sz w:val="20"/>
              </w:rPr>
              <w:t>Year 4</w:t>
            </w:r>
            <w:r w:rsidRPr="00F70901">
              <w:rPr>
                <w:sz w:val="20"/>
              </w:rPr>
              <w:t xml:space="preserve"> have not returned to pre-pandemic levels. It is a subject that has been considerably impacted by the disruptions caused by COVID-19. Attainment is 36% below the outcomes at the end of KS1 at 73% ARE. This is an improvement of 10% on baseline attainment for writing at the start of year 3. </w:t>
            </w:r>
          </w:p>
          <w:p w14:paraId="37ADDD12" w14:textId="1FF1B83E" w:rsidR="003D17B2" w:rsidRPr="00F70901" w:rsidRDefault="00F70901" w:rsidP="003D17B2">
            <w:pPr>
              <w:suppressAutoHyphens w:val="0"/>
              <w:autoSpaceDN/>
              <w:spacing w:after="160" w:line="259" w:lineRule="auto"/>
              <w:ind w:left="360"/>
              <w:rPr>
                <w:b/>
                <w:sz w:val="20"/>
              </w:rPr>
            </w:pPr>
            <w:r w:rsidRPr="00F70901">
              <w:rPr>
                <w:b/>
                <w:sz w:val="20"/>
              </w:rPr>
              <w:t>Year 5</w:t>
            </w:r>
            <w:r w:rsidR="003D17B2" w:rsidRPr="00F70901">
              <w:rPr>
                <w:b/>
                <w:sz w:val="20"/>
              </w:rPr>
              <w:t>:</w:t>
            </w:r>
          </w:p>
          <w:p w14:paraId="32CD6051" w14:textId="31F03D18" w:rsidR="003D17B2" w:rsidRPr="00F70901" w:rsidRDefault="005669B3" w:rsidP="00F70901">
            <w:pPr>
              <w:pStyle w:val="ListParagraph"/>
              <w:numPr>
                <w:ilvl w:val="0"/>
                <w:numId w:val="29"/>
              </w:numPr>
              <w:suppressAutoHyphens w:val="0"/>
              <w:autoSpaceDN/>
              <w:spacing w:after="160" w:line="259" w:lineRule="auto"/>
              <w:jc w:val="both"/>
              <w:rPr>
                <w:noProof/>
                <w:sz w:val="20"/>
              </w:rPr>
            </w:pPr>
            <w:r>
              <w:rPr>
                <w:noProof/>
                <w:sz w:val="20"/>
              </w:rPr>
              <w:t>Accelerated progres</w:t>
            </w:r>
            <w:r w:rsidR="003D17B2" w:rsidRPr="00F70901">
              <w:rPr>
                <w:noProof/>
                <w:sz w:val="20"/>
              </w:rPr>
              <w:t>s</w:t>
            </w:r>
            <w:r>
              <w:rPr>
                <w:noProof/>
                <w:sz w:val="20"/>
              </w:rPr>
              <w:t xml:space="preserve"> </w:t>
            </w:r>
            <w:r w:rsidR="003D17B2" w:rsidRPr="00F70901">
              <w:rPr>
                <w:noProof/>
                <w:sz w:val="20"/>
              </w:rPr>
              <w:t xml:space="preserve">has been made in writing over the course of the year - +16% since autumn term. Writing levels are still, however -10% when compared to pre-pandemic levels. </w:t>
            </w:r>
          </w:p>
          <w:p w14:paraId="0BF4D075" w14:textId="7CBBC6FC" w:rsidR="003D17B2" w:rsidRPr="00F70901" w:rsidRDefault="003D17B2" w:rsidP="00F70901">
            <w:pPr>
              <w:pStyle w:val="ListParagraph"/>
              <w:numPr>
                <w:ilvl w:val="0"/>
                <w:numId w:val="29"/>
              </w:numPr>
              <w:suppressAutoHyphens w:val="0"/>
              <w:autoSpaceDN/>
              <w:spacing w:after="160" w:line="259" w:lineRule="auto"/>
              <w:jc w:val="both"/>
              <w:rPr>
                <w:noProof/>
                <w:sz w:val="20"/>
              </w:rPr>
            </w:pPr>
            <w:r w:rsidRPr="00F70901">
              <w:rPr>
                <w:noProof/>
                <w:sz w:val="20"/>
              </w:rPr>
              <w:t>Disadvantaged children have made accelerated progress (+20%) The gap between disadvantaged pupils and non has narrowed and is currently -3%.</w:t>
            </w:r>
          </w:p>
          <w:p w14:paraId="4ACDA04A" w14:textId="1E77FB8A" w:rsidR="003D17B2" w:rsidRPr="00F70901" w:rsidRDefault="003D17B2" w:rsidP="00F70901">
            <w:pPr>
              <w:pStyle w:val="ListParagraph"/>
              <w:numPr>
                <w:ilvl w:val="0"/>
                <w:numId w:val="29"/>
              </w:numPr>
              <w:suppressAutoHyphens w:val="0"/>
              <w:autoSpaceDN/>
              <w:spacing w:after="160" w:line="259" w:lineRule="auto"/>
              <w:jc w:val="both"/>
              <w:rPr>
                <w:noProof/>
                <w:sz w:val="20"/>
              </w:rPr>
            </w:pPr>
            <w:r w:rsidRPr="00F70901">
              <w:rPr>
                <w:noProof/>
                <w:sz w:val="20"/>
              </w:rPr>
              <w:t xml:space="preserve">Writing ar greater depth has increased stedily over the year – currently 9% which is broadly inline with end of KS1 outcomes. The impact of the greater depth writing training by the LA is evident to see. </w:t>
            </w:r>
          </w:p>
          <w:p w14:paraId="7BF9A1EA" w14:textId="28FBABB3" w:rsidR="003D17B2" w:rsidRPr="00F70901" w:rsidRDefault="00F70901" w:rsidP="003D17B2">
            <w:pPr>
              <w:suppressAutoHyphens w:val="0"/>
              <w:autoSpaceDN/>
              <w:spacing w:after="160" w:line="259" w:lineRule="auto"/>
              <w:jc w:val="both"/>
              <w:rPr>
                <w:b/>
                <w:noProof/>
                <w:sz w:val="20"/>
              </w:rPr>
            </w:pPr>
            <w:r w:rsidRPr="00F70901">
              <w:rPr>
                <w:b/>
                <w:noProof/>
                <w:sz w:val="20"/>
              </w:rPr>
              <w:t>Year 6</w:t>
            </w:r>
            <w:r w:rsidR="003D17B2" w:rsidRPr="00F70901">
              <w:rPr>
                <w:b/>
                <w:noProof/>
                <w:sz w:val="20"/>
              </w:rPr>
              <w:t>:</w:t>
            </w:r>
          </w:p>
          <w:p w14:paraId="70431E85" w14:textId="77777777" w:rsidR="003D17B2" w:rsidRPr="00F70901" w:rsidRDefault="003D17B2" w:rsidP="00F70901">
            <w:pPr>
              <w:pStyle w:val="ListParagraph"/>
              <w:numPr>
                <w:ilvl w:val="0"/>
                <w:numId w:val="30"/>
              </w:numPr>
              <w:suppressAutoHyphens w:val="0"/>
              <w:autoSpaceDN/>
              <w:spacing w:after="160" w:line="259" w:lineRule="auto"/>
              <w:jc w:val="both"/>
              <w:rPr>
                <w:noProof/>
                <w:sz w:val="20"/>
              </w:rPr>
            </w:pPr>
            <w:r w:rsidRPr="00F70901">
              <w:rPr>
                <w:noProof/>
                <w:sz w:val="20"/>
              </w:rPr>
              <w:t xml:space="preserve">Outocmes in writing have remained stable over the course of the year - +5% since autumn term. Writing levels remain low -9% when compared to pre-pandemic levels. </w:t>
            </w:r>
          </w:p>
          <w:p w14:paraId="59F6B6D9" w14:textId="77777777" w:rsidR="003D17B2" w:rsidRPr="00F70901" w:rsidRDefault="003D17B2" w:rsidP="00F70901">
            <w:pPr>
              <w:pStyle w:val="ListParagraph"/>
              <w:numPr>
                <w:ilvl w:val="0"/>
                <w:numId w:val="30"/>
              </w:numPr>
              <w:suppressAutoHyphens w:val="0"/>
              <w:autoSpaceDN/>
              <w:spacing w:after="160" w:line="259" w:lineRule="auto"/>
              <w:jc w:val="both"/>
              <w:rPr>
                <w:noProof/>
                <w:sz w:val="20"/>
              </w:rPr>
            </w:pPr>
            <w:r w:rsidRPr="00F70901">
              <w:rPr>
                <w:noProof/>
                <w:sz w:val="20"/>
              </w:rPr>
              <w:t>The gap between disadvantaged pupils and non remains significant (-19%)</w:t>
            </w:r>
          </w:p>
          <w:p w14:paraId="5093F304" w14:textId="6AD0DF94" w:rsidR="003D17B2" w:rsidRPr="00F70901" w:rsidRDefault="005669B3" w:rsidP="00F70901">
            <w:pPr>
              <w:pStyle w:val="ListParagraph"/>
              <w:numPr>
                <w:ilvl w:val="0"/>
                <w:numId w:val="30"/>
              </w:numPr>
              <w:suppressAutoHyphens w:val="0"/>
              <w:autoSpaceDN/>
              <w:spacing w:after="160" w:line="259" w:lineRule="auto"/>
              <w:jc w:val="both"/>
              <w:rPr>
                <w:noProof/>
                <w:sz w:val="20"/>
              </w:rPr>
            </w:pPr>
            <w:r>
              <w:rPr>
                <w:noProof/>
                <w:sz w:val="20"/>
              </w:rPr>
              <w:t>Writing at</w:t>
            </w:r>
            <w:r w:rsidR="003D17B2" w:rsidRPr="00F70901">
              <w:rPr>
                <w:noProof/>
                <w:sz w:val="20"/>
              </w:rPr>
              <w:t xml:space="preserve"> greater depth has increased stedily over the year – currently 8% which is broadly inline with end of KS1 outcomes. The impact of the greater depth writing training by the LA is evident to see. </w:t>
            </w:r>
          </w:p>
          <w:p w14:paraId="0359B8B4" w14:textId="3DE62C6C" w:rsidR="00824073" w:rsidRPr="007E42DA" w:rsidRDefault="003D17B2" w:rsidP="003D17B2">
            <w:pPr>
              <w:pStyle w:val="TableRowCentered"/>
              <w:ind w:left="0"/>
              <w:jc w:val="left"/>
              <w:rPr>
                <w:rFonts w:cs="Arial"/>
                <w:sz w:val="20"/>
              </w:rPr>
            </w:pPr>
            <w:r w:rsidRPr="003D17B2">
              <w:rPr>
                <w:rFonts w:cs="Arial"/>
                <w:color w:val="auto"/>
                <w:sz w:val="20"/>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F9069" w14:textId="3C38645C" w:rsidR="00BA70EA" w:rsidRPr="007E42DA" w:rsidRDefault="00BA70EA">
            <w:pPr>
              <w:pStyle w:val="TableRowCentered"/>
              <w:jc w:val="left"/>
              <w:rPr>
                <w:rFonts w:cs="Arial"/>
                <w:sz w:val="20"/>
              </w:rPr>
            </w:pPr>
          </w:p>
        </w:tc>
      </w:tr>
    </w:tbl>
    <w:p w14:paraId="2A7D5531" w14:textId="77777777" w:rsidR="00E66558" w:rsidRPr="007E42DA" w:rsidRDefault="00E66558">
      <w:pPr>
        <w:spacing w:after="0"/>
        <w:rPr>
          <w:rFonts w:cs="Arial"/>
          <w:b/>
          <w:color w:val="104F75"/>
          <w:sz w:val="20"/>
          <w:szCs w:val="20"/>
        </w:rPr>
      </w:pPr>
    </w:p>
    <w:p w14:paraId="2A7D5532" w14:textId="59A68BC3" w:rsidR="00E66558" w:rsidRPr="007E42DA" w:rsidRDefault="009D71E8">
      <w:pPr>
        <w:rPr>
          <w:rFonts w:cs="Arial"/>
          <w:b/>
          <w:color w:val="104F75"/>
          <w:sz w:val="20"/>
          <w:szCs w:val="20"/>
        </w:rPr>
      </w:pPr>
      <w:r w:rsidRPr="007E42DA">
        <w:rPr>
          <w:rFonts w:cs="Arial"/>
          <w:b/>
          <w:color w:val="104F75"/>
          <w:sz w:val="20"/>
          <w:szCs w:val="20"/>
        </w:rPr>
        <w:t>Wider strategies (for example, related to attendance, behaviour, wellbeing)</w:t>
      </w:r>
    </w:p>
    <w:p w14:paraId="2A7D5533" w14:textId="2F6F9AA1" w:rsidR="00E66558" w:rsidRPr="00211B91" w:rsidRDefault="009D71E8">
      <w:pPr>
        <w:spacing w:before="240" w:after="120"/>
        <w:rPr>
          <w:rFonts w:cs="Arial"/>
          <w:b/>
          <w:sz w:val="22"/>
          <w:szCs w:val="20"/>
        </w:rPr>
      </w:pPr>
      <w:r w:rsidRPr="00211B91">
        <w:rPr>
          <w:rFonts w:cs="Arial"/>
          <w:b/>
          <w:sz w:val="22"/>
          <w:szCs w:val="20"/>
        </w:rPr>
        <w:t xml:space="preserve">Budgeted cost: £ </w:t>
      </w:r>
      <w:r w:rsidR="00690686">
        <w:rPr>
          <w:rFonts w:cs="Arial"/>
          <w:b/>
          <w:i/>
          <w:iCs/>
          <w:sz w:val="22"/>
          <w:szCs w:val="20"/>
        </w:rPr>
        <w:t>76,453 (35%</w:t>
      </w:r>
      <w:r w:rsidR="00211B91" w:rsidRPr="00211B91">
        <w:rPr>
          <w:rFonts w:cs="Arial"/>
          <w:b/>
          <w:i/>
          <w:iCs/>
          <w:sz w:val="22"/>
          <w:szCs w:val="20"/>
        </w:rPr>
        <w:t xml:space="preserve"> of budget)</w:t>
      </w:r>
    </w:p>
    <w:tbl>
      <w:tblPr>
        <w:tblW w:w="5000" w:type="pct"/>
        <w:tblLayout w:type="fixed"/>
        <w:tblCellMar>
          <w:left w:w="10" w:type="dxa"/>
          <w:right w:w="10" w:type="dxa"/>
        </w:tblCellMar>
        <w:tblLook w:val="04A0" w:firstRow="1" w:lastRow="0" w:firstColumn="1" w:lastColumn="0" w:noHBand="0" w:noVBand="1"/>
      </w:tblPr>
      <w:tblGrid>
        <w:gridCol w:w="2689"/>
        <w:gridCol w:w="4252"/>
        <w:gridCol w:w="2545"/>
      </w:tblGrid>
      <w:tr w:rsidR="00E66558" w:rsidRPr="007E42DA" w14:paraId="2A7D5537" w14:textId="77777777" w:rsidTr="00481A0B">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D34C8E" w:rsidRDefault="009D71E8">
            <w:pPr>
              <w:pStyle w:val="TableHeader"/>
              <w:jc w:val="left"/>
              <w:rPr>
                <w:rFonts w:cs="Arial"/>
                <w:sz w:val="20"/>
                <w:szCs w:val="20"/>
              </w:rPr>
            </w:pPr>
            <w:r w:rsidRPr="00D34C8E">
              <w:rPr>
                <w:rFonts w:cs="Arial"/>
                <w:sz w:val="20"/>
                <w:szCs w:val="20"/>
              </w:rPr>
              <w:t>Activity</w:t>
            </w:r>
          </w:p>
        </w:tc>
        <w:tc>
          <w:tcPr>
            <w:tcW w:w="42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D34C8E" w:rsidRDefault="009D71E8">
            <w:pPr>
              <w:pStyle w:val="TableHeader"/>
              <w:jc w:val="left"/>
              <w:rPr>
                <w:rFonts w:cs="Arial"/>
                <w:sz w:val="20"/>
                <w:szCs w:val="20"/>
              </w:rPr>
            </w:pPr>
            <w:r w:rsidRPr="00D34C8E">
              <w:rPr>
                <w:rFonts w:cs="Arial"/>
                <w:sz w:val="20"/>
                <w:szCs w:val="20"/>
              </w:rPr>
              <w:t>Evidence that supports this approach</w:t>
            </w:r>
          </w:p>
        </w:tc>
        <w:tc>
          <w:tcPr>
            <w:tcW w:w="2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D34C8E" w:rsidRDefault="009D71E8">
            <w:pPr>
              <w:pStyle w:val="TableHeader"/>
              <w:jc w:val="left"/>
              <w:rPr>
                <w:rFonts w:cs="Arial"/>
                <w:sz w:val="20"/>
                <w:szCs w:val="20"/>
              </w:rPr>
            </w:pPr>
            <w:r w:rsidRPr="00D34C8E">
              <w:rPr>
                <w:rFonts w:cs="Arial"/>
                <w:sz w:val="20"/>
                <w:szCs w:val="20"/>
              </w:rPr>
              <w:t>Challenge number(s) addressed</w:t>
            </w:r>
          </w:p>
        </w:tc>
      </w:tr>
      <w:tr w:rsidR="00481A0B" w:rsidRPr="007E42DA" w14:paraId="2A7D553B" w14:textId="77777777" w:rsidTr="00CC4D0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C5CC3" w14:textId="77777777" w:rsidR="00481A0B" w:rsidRPr="00D34C8E" w:rsidRDefault="00481A0B" w:rsidP="005821C5">
            <w:pPr>
              <w:rPr>
                <w:rFonts w:cs="Arial"/>
                <w:b/>
                <w:sz w:val="20"/>
                <w:szCs w:val="20"/>
                <w:u w:val="single"/>
              </w:rPr>
            </w:pPr>
            <w:r w:rsidRPr="00D34C8E">
              <w:rPr>
                <w:rFonts w:cs="Arial"/>
                <w:b/>
                <w:sz w:val="20"/>
                <w:szCs w:val="20"/>
                <w:u w:val="single"/>
              </w:rPr>
              <w:t>Behaviour, social and emotional support:</w:t>
            </w:r>
          </w:p>
          <w:p w14:paraId="663F76D0" w14:textId="08F43AC7" w:rsidR="00481A0B" w:rsidRPr="00D34C8E" w:rsidRDefault="00481A0B" w:rsidP="005821C5">
            <w:pPr>
              <w:rPr>
                <w:rFonts w:cs="Arial"/>
                <w:sz w:val="20"/>
                <w:szCs w:val="20"/>
              </w:rPr>
            </w:pPr>
            <w:r w:rsidRPr="00D34C8E">
              <w:rPr>
                <w:rFonts w:cs="Arial"/>
                <w:b/>
                <w:sz w:val="20"/>
                <w:szCs w:val="20"/>
              </w:rPr>
              <w:t xml:space="preserve">Family Support Worker: </w:t>
            </w:r>
            <w:r w:rsidRPr="00D34C8E">
              <w:rPr>
                <w:rFonts w:cs="Arial"/>
                <w:sz w:val="20"/>
                <w:szCs w:val="20"/>
              </w:rPr>
              <w:t xml:space="preserve">To support the most socially and emotionally vulnerable PP pupils by giving them opportunities to talk, to understand and make sense of different situations. </w:t>
            </w:r>
          </w:p>
          <w:p w14:paraId="2BBDE61A" w14:textId="77777777" w:rsidR="00481A0B" w:rsidRPr="00D34C8E" w:rsidRDefault="00481A0B" w:rsidP="005821C5">
            <w:pPr>
              <w:rPr>
                <w:rFonts w:cs="Arial"/>
                <w:sz w:val="20"/>
                <w:szCs w:val="20"/>
              </w:rPr>
            </w:pPr>
            <w:r w:rsidRPr="00D34C8E">
              <w:rPr>
                <w:rFonts w:cs="Arial"/>
                <w:sz w:val="20"/>
                <w:szCs w:val="20"/>
              </w:rPr>
              <w:t>Availability of nurturing and resilience building activities in 1:1 or small groups.</w:t>
            </w:r>
          </w:p>
          <w:p w14:paraId="2F31336F" w14:textId="47407197" w:rsidR="00481A0B" w:rsidRPr="00D34C8E" w:rsidRDefault="00481A0B" w:rsidP="005821C5">
            <w:pPr>
              <w:rPr>
                <w:rFonts w:cs="Arial"/>
                <w:b/>
                <w:sz w:val="20"/>
                <w:szCs w:val="20"/>
              </w:rPr>
            </w:pPr>
            <w:r w:rsidRPr="00D34C8E">
              <w:rPr>
                <w:rFonts w:cs="Arial"/>
                <w:sz w:val="20"/>
                <w:szCs w:val="20"/>
              </w:rPr>
              <w:t>To offer targeted PP pupils support in self-regulation and emotional well-being in small groups or 1:1</w:t>
            </w:r>
            <w:r w:rsidRPr="00D34C8E">
              <w:rPr>
                <w:rFonts w:cs="Arial"/>
                <w:b/>
                <w:sz w:val="20"/>
                <w:szCs w:val="20"/>
              </w:rPr>
              <w:t xml:space="preserve"> </w:t>
            </w:r>
          </w:p>
          <w:p w14:paraId="33214E71" w14:textId="5B2D105D" w:rsidR="00481A0B" w:rsidRPr="00D34C8E" w:rsidRDefault="00481A0B" w:rsidP="005821C5">
            <w:pPr>
              <w:rPr>
                <w:rFonts w:cs="Arial"/>
                <w:sz w:val="20"/>
                <w:szCs w:val="20"/>
              </w:rPr>
            </w:pPr>
            <w:r w:rsidRPr="00D34C8E">
              <w:rPr>
                <w:rFonts w:cs="Arial"/>
                <w:sz w:val="20"/>
                <w:szCs w:val="20"/>
              </w:rPr>
              <w:t xml:space="preserve">Family support work with identified vulnerable families – in school early help offer – prevention and early signposting to specialist support. </w:t>
            </w:r>
          </w:p>
          <w:p w14:paraId="084BE297" w14:textId="0A7F6E07" w:rsidR="00481A0B" w:rsidRPr="00F342D7" w:rsidRDefault="00F342D7" w:rsidP="005821C5">
            <w:pPr>
              <w:rPr>
                <w:rFonts w:cs="Arial"/>
                <w:b/>
                <w:sz w:val="20"/>
                <w:szCs w:val="20"/>
              </w:rPr>
            </w:pPr>
            <w:r w:rsidRPr="00F342D7">
              <w:rPr>
                <w:rFonts w:cs="Arial"/>
                <w:b/>
                <w:sz w:val="20"/>
                <w:szCs w:val="20"/>
              </w:rPr>
              <w:t>£31</w:t>
            </w:r>
            <w:r w:rsidR="00E779ED" w:rsidRPr="00F342D7">
              <w:rPr>
                <w:rFonts w:cs="Arial"/>
                <w:b/>
                <w:sz w:val="20"/>
                <w:szCs w:val="20"/>
              </w:rPr>
              <w:t>,</w:t>
            </w:r>
            <w:r w:rsidRPr="00F342D7">
              <w:rPr>
                <w:rFonts w:cs="Arial"/>
                <w:b/>
                <w:sz w:val="20"/>
                <w:szCs w:val="20"/>
              </w:rPr>
              <w:t>796</w:t>
            </w:r>
          </w:p>
          <w:p w14:paraId="2A7D5538" w14:textId="19682620" w:rsidR="00481A0B" w:rsidRPr="00D34C8E" w:rsidRDefault="00481A0B" w:rsidP="005821C5">
            <w:pPr>
              <w:rPr>
                <w:rFonts w:cs="Arial"/>
                <w:sz w:val="20"/>
                <w:szCs w:val="20"/>
              </w:rPr>
            </w:pPr>
          </w:p>
        </w:tc>
        <w:tc>
          <w:tcPr>
            <w:tcW w:w="425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4E34E8" w14:textId="77777777" w:rsidR="00481A0B" w:rsidRPr="00D34C8E" w:rsidRDefault="00481A0B">
            <w:pPr>
              <w:pStyle w:val="TableRowCentered"/>
              <w:jc w:val="left"/>
              <w:rPr>
                <w:rFonts w:cs="Arial"/>
                <w:sz w:val="20"/>
              </w:rPr>
            </w:pPr>
          </w:p>
          <w:p w14:paraId="65B9BB31" w14:textId="77777777" w:rsidR="00481A0B" w:rsidRPr="00D34C8E" w:rsidRDefault="00C23ABE" w:rsidP="005F3A95">
            <w:pPr>
              <w:pStyle w:val="TableRowCentered"/>
              <w:jc w:val="left"/>
              <w:rPr>
                <w:rFonts w:cs="Arial"/>
                <w:sz w:val="20"/>
              </w:rPr>
            </w:pPr>
            <w:hyperlink r:id="rId18" w:history="1">
              <w:r w:rsidR="00481A0B" w:rsidRPr="00D34C8E">
                <w:rPr>
                  <w:rStyle w:val="Hyperlink"/>
                  <w:rFonts w:cs="Arial"/>
                  <w:sz w:val="20"/>
                </w:rPr>
                <w:t>https://educationendowmentfoundation.org.uk/public/files/Publications/SEL/EEF_Social_and_Emotional_Learning.pdf</w:t>
              </w:r>
            </w:hyperlink>
            <w:r w:rsidR="00481A0B" w:rsidRPr="00D34C8E">
              <w:rPr>
                <w:rFonts w:cs="Arial"/>
                <w:sz w:val="20"/>
              </w:rPr>
              <w:t xml:space="preserve"> </w:t>
            </w:r>
          </w:p>
          <w:p w14:paraId="5EC6BE1B" w14:textId="77777777" w:rsidR="00481A0B" w:rsidRPr="00D34C8E" w:rsidRDefault="00481A0B" w:rsidP="005F3A95">
            <w:pPr>
              <w:pStyle w:val="TableRowCentered"/>
              <w:jc w:val="left"/>
              <w:rPr>
                <w:rFonts w:cs="Arial"/>
                <w:color w:val="263238"/>
                <w:sz w:val="20"/>
                <w:shd w:val="clear" w:color="auto" w:fill="FFFFFF"/>
              </w:rPr>
            </w:pPr>
            <w:r w:rsidRPr="00D34C8E">
              <w:rPr>
                <w:rFonts w:cs="Arial"/>
                <w:color w:val="263238"/>
                <w:sz w:val="20"/>
                <w:shd w:val="clear" w:color="auto" w:fill="FFFFFF"/>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r w:rsidRPr="00D34C8E">
              <w:rPr>
                <w:rFonts w:cs="Arial"/>
                <w:color w:val="263238"/>
                <w:sz w:val="20"/>
              </w:rPr>
              <w:br/>
            </w:r>
            <w:r w:rsidRPr="00D34C8E">
              <w:rPr>
                <w:rFonts w:cs="Arial"/>
                <w:color w:val="263238"/>
                <w:sz w:val="20"/>
              </w:rPr>
              <w:br/>
            </w:r>
            <w:r w:rsidRPr="00D34C8E">
              <w:rPr>
                <w:rFonts w:cs="Arial"/>
                <w:color w:val="263238"/>
                <w:sz w:val="20"/>
                <w:shd w:val="clear" w:color="auto" w:fill="FFFFFF"/>
              </w:rPr>
              <w:t>SEL interventions in education are shown to improve SEL skills and are therefore likely to support disadvantaged pupils to understand and engage in healthy relationships with peers and emotional self-regulation, both of which may subsequently increase academic attainment.</w:t>
            </w:r>
          </w:p>
          <w:p w14:paraId="2A7D5539" w14:textId="40C19D92" w:rsidR="00481A0B" w:rsidRPr="00D34C8E" w:rsidRDefault="00481A0B" w:rsidP="005F3A95">
            <w:pPr>
              <w:pStyle w:val="TableRowCentered"/>
              <w:jc w:val="left"/>
              <w:rPr>
                <w:rFonts w:cs="Arial"/>
                <w:sz w:val="20"/>
              </w:rPr>
            </w:pPr>
            <w:r w:rsidRPr="00D34C8E">
              <w:rPr>
                <w:rFonts w:cs="Arial"/>
                <w:color w:val="auto"/>
                <w:sz w:val="20"/>
                <w:shd w:val="clear" w:color="auto" w:fill="FAFAFA"/>
              </w:rPr>
              <w:t>Social and emotional learning approaches have a positive impact, on average, of 4 months’ additional progress in academic outcomes over the course of an academic year.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DA663" w14:textId="77777777" w:rsidR="00481A0B" w:rsidRDefault="00A7219B">
            <w:pPr>
              <w:pStyle w:val="TableRowCentered"/>
              <w:jc w:val="left"/>
              <w:rPr>
                <w:rFonts w:cs="Arial"/>
                <w:sz w:val="20"/>
              </w:rPr>
            </w:pPr>
            <w:r>
              <w:rPr>
                <w:rFonts w:cs="Arial"/>
                <w:sz w:val="20"/>
              </w:rPr>
              <w:t>2,4</w:t>
            </w:r>
          </w:p>
          <w:p w14:paraId="2A7D553A" w14:textId="1F54962D" w:rsidR="00BA70EA" w:rsidRPr="00D34C8E" w:rsidRDefault="00BA70EA">
            <w:pPr>
              <w:pStyle w:val="TableRowCentered"/>
              <w:jc w:val="left"/>
              <w:rPr>
                <w:rFonts w:cs="Arial"/>
                <w:sz w:val="20"/>
              </w:rPr>
            </w:pPr>
          </w:p>
        </w:tc>
      </w:tr>
      <w:tr w:rsidR="00481A0B" w:rsidRPr="007E42DA" w14:paraId="2A7D553F" w14:textId="77777777" w:rsidTr="00CC4D0E">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0F229" w14:textId="61041852" w:rsidR="00481A0B" w:rsidRPr="00D34C8E" w:rsidRDefault="00481A0B" w:rsidP="005821C5">
            <w:pPr>
              <w:rPr>
                <w:rFonts w:cs="Arial"/>
                <w:b/>
                <w:sz w:val="20"/>
                <w:szCs w:val="20"/>
                <w:u w:val="single"/>
              </w:rPr>
            </w:pPr>
            <w:r w:rsidRPr="00D34C8E">
              <w:rPr>
                <w:rFonts w:cs="Arial"/>
                <w:b/>
                <w:sz w:val="20"/>
                <w:szCs w:val="20"/>
                <w:u w:val="single"/>
              </w:rPr>
              <w:t>Behaviour, social and emotional support:</w:t>
            </w:r>
          </w:p>
          <w:p w14:paraId="1B0291C9" w14:textId="77777777" w:rsidR="00481A0B" w:rsidRPr="00D34C8E" w:rsidRDefault="00481A0B" w:rsidP="007E42DA">
            <w:pPr>
              <w:rPr>
                <w:rFonts w:cs="Arial"/>
                <w:sz w:val="20"/>
                <w:szCs w:val="20"/>
              </w:rPr>
            </w:pPr>
            <w:r w:rsidRPr="00D34C8E">
              <w:rPr>
                <w:rFonts w:cs="Arial"/>
                <w:sz w:val="20"/>
                <w:szCs w:val="20"/>
              </w:rPr>
              <w:t>Identified TA to receive Forest School Lead Training – Level 3.</w:t>
            </w:r>
          </w:p>
          <w:p w14:paraId="7525EB23" w14:textId="77777777" w:rsidR="00481A0B" w:rsidRPr="00D34C8E" w:rsidRDefault="00481A0B" w:rsidP="005821C5">
            <w:pPr>
              <w:rPr>
                <w:rFonts w:cs="Arial"/>
                <w:b/>
                <w:sz w:val="20"/>
                <w:szCs w:val="20"/>
                <w:u w:val="single"/>
              </w:rPr>
            </w:pPr>
          </w:p>
          <w:p w14:paraId="73D26C50" w14:textId="7C298645" w:rsidR="00481A0B" w:rsidRPr="00690686" w:rsidRDefault="00481A0B" w:rsidP="005821C5">
            <w:pPr>
              <w:rPr>
                <w:rFonts w:cs="Arial"/>
                <w:b/>
                <w:sz w:val="20"/>
                <w:szCs w:val="20"/>
                <w:u w:val="single"/>
              </w:rPr>
            </w:pPr>
            <w:r w:rsidRPr="00D34C8E">
              <w:rPr>
                <w:rFonts w:cs="Arial"/>
                <w:sz w:val="20"/>
                <w:szCs w:val="20"/>
              </w:rPr>
              <w:t xml:space="preserve">Forest school provision 1 x half day per week. Lead by Forest School leader and 1 </w:t>
            </w:r>
            <w:r w:rsidRPr="00690686">
              <w:rPr>
                <w:rFonts w:cs="Arial"/>
                <w:b/>
                <w:sz w:val="20"/>
                <w:szCs w:val="20"/>
              </w:rPr>
              <w:t xml:space="preserve">x TA plus volunteer. </w:t>
            </w:r>
          </w:p>
          <w:p w14:paraId="14776A76" w14:textId="77777777" w:rsidR="00481A0B" w:rsidRPr="00690686" w:rsidRDefault="00481A0B">
            <w:pPr>
              <w:pStyle w:val="TableRow"/>
              <w:rPr>
                <w:rFonts w:cs="Arial"/>
                <w:b/>
                <w:i/>
                <w:sz w:val="20"/>
                <w:szCs w:val="20"/>
              </w:rPr>
            </w:pPr>
            <w:r w:rsidRPr="00690686">
              <w:rPr>
                <w:rFonts w:cs="Arial"/>
                <w:b/>
                <w:i/>
                <w:sz w:val="20"/>
                <w:szCs w:val="20"/>
              </w:rPr>
              <w:t>£500 hire of forest school</w:t>
            </w:r>
          </w:p>
          <w:p w14:paraId="7065783D" w14:textId="21DD0EC1" w:rsidR="00481A0B" w:rsidRPr="00690686" w:rsidRDefault="00F342D7">
            <w:pPr>
              <w:pStyle w:val="TableRow"/>
              <w:rPr>
                <w:rFonts w:cs="Arial"/>
                <w:b/>
                <w:i/>
                <w:sz w:val="20"/>
                <w:szCs w:val="20"/>
              </w:rPr>
            </w:pPr>
            <w:r w:rsidRPr="00690686">
              <w:rPr>
                <w:rFonts w:cs="Arial"/>
                <w:b/>
                <w:i/>
                <w:sz w:val="20"/>
                <w:szCs w:val="20"/>
              </w:rPr>
              <w:t xml:space="preserve">£1898 </w:t>
            </w:r>
            <w:r w:rsidR="00481A0B" w:rsidRPr="00690686">
              <w:rPr>
                <w:rFonts w:cs="Arial"/>
                <w:b/>
                <w:i/>
                <w:sz w:val="20"/>
                <w:szCs w:val="20"/>
              </w:rPr>
              <w:t>KH time</w:t>
            </w:r>
          </w:p>
          <w:p w14:paraId="5E26478B" w14:textId="2A302EF3" w:rsidR="00481A0B" w:rsidRPr="00690686" w:rsidRDefault="00F342D7">
            <w:pPr>
              <w:pStyle w:val="TableRow"/>
              <w:rPr>
                <w:rFonts w:cs="Arial"/>
                <w:b/>
                <w:i/>
                <w:sz w:val="20"/>
                <w:szCs w:val="20"/>
              </w:rPr>
            </w:pPr>
            <w:r w:rsidRPr="00690686">
              <w:rPr>
                <w:rFonts w:cs="Arial"/>
                <w:b/>
                <w:i/>
                <w:sz w:val="20"/>
                <w:szCs w:val="20"/>
              </w:rPr>
              <w:t xml:space="preserve">£4965 </w:t>
            </w:r>
            <w:r w:rsidR="00481A0B" w:rsidRPr="00690686">
              <w:rPr>
                <w:rFonts w:cs="Arial"/>
                <w:b/>
                <w:i/>
                <w:sz w:val="20"/>
                <w:szCs w:val="20"/>
              </w:rPr>
              <w:t>MC ½ day</w:t>
            </w:r>
          </w:p>
          <w:p w14:paraId="35A6632E" w14:textId="3AA59DE3" w:rsidR="00481A0B" w:rsidRPr="00690686" w:rsidRDefault="00F342D7">
            <w:pPr>
              <w:pStyle w:val="TableRow"/>
              <w:rPr>
                <w:rFonts w:cs="Arial"/>
                <w:b/>
                <w:i/>
                <w:sz w:val="20"/>
                <w:szCs w:val="20"/>
              </w:rPr>
            </w:pPr>
            <w:r w:rsidRPr="00690686">
              <w:rPr>
                <w:rFonts w:cs="Arial"/>
                <w:b/>
                <w:i/>
                <w:sz w:val="20"/>
                <w:szCs w:val="20"/>
              </w:rPr>
              <w:t>£ 5265</w:t>
            </w:r>
            <w:r w:rsidR="00481A0B" w:rsidRPr="00690686">
              <w:rPr>
                <w:rFonts w:cs="Arial"/>
                <w:b/>
                <w:i/>
                <w:sz w:val="20"/>
                <w:szCs w:val="20"/>
              </w:rPr>
              <w:t>bus!</w:t>
            </w:r>
          </w:p>
          <w:p w14:paraId="5084C010" w14:textId="77777777" w:rsidR="00481A0B" w:rsidRPr="00690686" w:rsidRDefault="00481A0B">
            <w:pPr>
              <w:pStyle w:val="TableRow"/>
              <w:rPr>
                <w:rFonts w:cs="Arial"/>
                <w:b/>
                <w:i/>
                <w:sz w:val="20"/>
                <w:szCs w:val="20"/>
              </w:rPr>
            </w:pPr>
            <w:r w:rsidRPr="00690686">
              <w:rPr>
                <w:rFonts w:cs="Arial"/>
                <w:b/>
                <w:i/>
                <w:sz w:val="20"/>
                <w:szCs w:val="20"/>
              </w:rPr>
              <w:t>£997 – forest school training</w:t>
            </w:r>
          </w:p>
          <w:p w14:paraId="2A7D553C" w14:textId="67FE5EED" w:rsidR="00211B91" w:rsidRPr="00D34C8E" w:rsidRDefault="00690686">
            <w:pPr>
              <w:pStyle w:val="TableRow"/>
              <w:rPr>
                <w:rFonts w:cs="Arial"/>
                <w:i/>
                <w:sz w:val="20"/>
                <w:szCs w:val="20"/>
              </w:rPr>
            </w:pPr>
            <w:r w:rsidRPr="00690686">
              <w:rPr>
                <w:rFonts w:cs="Arial"/>
                <w:b/>
                <w:i/>
                <w:sz w:val="20"/>
                <w:szCs w:val="20"/>
              </w:rPr>
              <w:t>£8360</w:t>
            </w:r>
          </w:p>
        </w:tc>
        <w:tc>
          <w:tcPr>
            <w:tcW w:w="425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481A0B" w:rsidRPr="00D34C8E" w:rsidRDefault="00481A0B">
            <w:pPr>
              <w:pStyle w:val="TableRowCentered"/>
              <w:jc w:val="left"/>
              <w:rPr>
                <w:rFonts w:cs="Arial"/>
                <w:sz w:val="20"/>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7D8EE" w14:textId="77777777" w:rsidR="00481A0B" w:rsidRDefault="00A7219B">
            <w:pPr>
              <w:pStyle w:val="TableRowCentered"/>
              <w:jc w:val="left"/>
              <w:rPr>
                <w:rFonts w:cs="Arial"/>
                <w:sz w:val="20"/>
              </w:rPr>
            </w:pPr>
            <w:r>
              <w:rPr>
                <w:rFonts w:cs="Arial"/>
                <w:sz w:val="20"/>
              </w:rPr>
              <w:t>2,4,5</w:t>
            </w:r>
          </w:p>
          <w:p w14:paraId="2A7D553E" w14:textId="6B1B2643" w:rsidR="00BA70EA" w:rsidRPr="00D34C8E" w:rsidRDefault="00BA70EA" w:rsidP="00F12141">
            <w:pPr>
              <w:pStyle w:val="TableRowCentered"/>
              <w:jc w:val="left"/>
              <w:rPr>
                <w:rFonts w:cs="Arial"/>
                <w:sz w:val="20"/>
              </w:rPr>
            </w:pPr>
          </w:p>
        </w:tc>
      </w:tr>
      <w:tr w:rsidR="005821C5" w14:paraId="1787CC53" w14:textId="77777777" w:rsidTr="00481A0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4ED9A" w14:textId="77777777" w:rsidR="007E42DA" w:rsidRPr="00D34C8E" w:rsidRDefault="007E42DA" w:rsidP="007E42DA">
            <w:pPr>
              <w:rPr>
                <w:rFonts w:cs="Arial"/>
                <w:b/>
                <w:sz w:val="20"/>
                <w:szCs w:val="20"/>
                <w:u w:val="single"/>
              </w:rPr>
            </w:pPr>
            <w:r w:rsidRPr="00D34C8E">
              <w:rPr>
                <w:rFonts w:cs="Arial"/>
                <w:b/>
                <w:sz w:val="20"/>
                <w:szCs w:val="20"/>
                <w:u w:val="single"/>
              </w:rPr>
              <w:t>Improving Attendance:</w:t>
            </w:r>
          </w:p>
          <w:p w14:paraId="5CACFBFA" w14:textId="77777777" w:rsidR="0062536B" w:rsidRPr="00D34C8E" w:rsidRDefault="0062536B" w:rsidP="0062536B">
            <w:pPr>
              <w:rPr>
                <w:rFonts w:cs="Arial"/>
                <w:sz w:val="20"/>
                <w:szCs w:val="20"/>
              </w:rPr>
            </w:pPr>
            <w:r w:rsidRPr="00D34C8E">
              <w:rPr>
                <w:rFonts w:cs="Arial"/>
                <w:sz w:val="20"/>
                <w:szCs w:val="20"/>
              </w:rPr>
              <w:t xml:space="preserve">Embedding principles of good practice set out in the DfE’s Improving School Attendance advice. Attendance office to be employed for 3 days per week to monitor persistent absence and late arrivals.  </w:t>
            </w:r>
          </w:p>
          <w:p w14:paraId="734B7CBD" w14:textId="77777777" w:rsidR="0062536B" w:rsidRPr="00D34C8E" w:rsidRDefault="0062536B" w:rsidP="0062536B">
            <w:pPr>
              <w:rPr>
                <w:rFonts w:cs="Arial"/>
                <w:sz w:val="20"/>
                <w:szCs w:val="20"/>
              </w:rPr>
            </w:pPr>
            <w:r w:rsidRPr="00D34C8E">
              <w:rPr>
                <w:rFonts w:cs="Arial"/>
                <w:sz w:val="20"/>
                <w:szCs w:val="20"/>
              </w:rPr>
              <w:t xml:space="preserve">Structured conversations to be used to engage parents. </w:t>
            </w:r>
          </w:p>
          <w:p w14:paraId="31FD441D" w14:textId="77777777" w:rsidR="0062536B" w:rsidRPr="00D34C8E" w:rsidRDefault="0062536B" w:rsidP="0062536B">
            <w:pPr>
              <w:rPr>
                <w:rFonts w:cs="Arial"/>
                <w:sz w:val="20"/>
                <w:szCs w:val="20"/>
              </w:rPr>
            </w:pPr>
            <w:r w:rsidRPr="00D34C8E">
              <w:rPr>
                <w:rFonts w:cs="Arial"/>
                <w:sz w:val="20"/>
                <w:szCs w:val="20"/>
              </w:rPr>
              <w:t xml:space="preserve">First day response by attendance officer. </w:t>
            </w:r>
          </w:p>
          <w:p w14:paraId="2A21384E" w14:textId="02F3C3D9" w:rsidR="0062536B" w:rsidRPr="00D34C8E" w:rsidRDefault="0062536B" w:rsidP="007E42DA">
            <w:pPr>
              <w:rPr>
                <w:rFonts w:cs="Arial"/>
                <w:sz w:val="20"/>
                <w:szCs w:val="20"/>
              </w:rPr>
            </w:pPr>
          </w:p>
          <w:p w14:paraId="2D9281F9" w14:textId="5E20CBFB" w:rsidR="005821C5" w:rsidRPr="00D34C8E" w:rsidRDefault="00690686" w:rsidP="007E42DA">
            <w:pPr>
              <w:pStyle w:val="TableRow"/>
              <w:rPr>
                <w:rFonts w:cs="Arial"/>
                <w:sz w:val="20"/>
                <w:szCs w:val="20"/>
              </w:rPr>
            </w:pPr>
            <w:r>
              <w:rPr>
                <w:rFonts w:cs="Arial"/>
                <w:b/>
                <w:color w:val="auto"/>
                <w:sz w:val="20"/>
                <w:szCs w:val="20"/>
              </w:rPr>
              <w:t>£15,032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F488" w14:textId="77777777" w:rsidR="005821C5" w:rsidRPr="00D34C8E" w:rsidRDefault="0062536B">
            <w:pPr>
              <w:pStyle w:val="TableRowCentered"/>
              <w:jc w:val="left"/>
              <w:rPr>
                <w:rFonts w:cs="Arial"/>
                <w:sz w:val="20"/>
              </w:rPr>
            </w:pPr>
            <w:r w:rsidRPr="00D34C8E">
              <w:rPr>
                <w:rFonts w:cs="Arial"/>
                <w:sz w:val="20"/>
              </w:rPr>
              <w:t>The DfE guidance has been informed by engagement with schools that have significantly reduced levels of absence and persistent absence.</w:t>
            </w:r>
          </w:p>
          <w:p w14:paraId="6890F90F" w14:textId="6F4D6766" w:rsidR="00E779ED" w:rsidRPr="00D34C8E" w:rsidRDefault="00C23ABE">
            <w:pPr>
              <w:pStyle w:val="TableRowCentered"/>
              <w:jc w:val="left"/>
              <w:rPr>
                <w:rFonts w:cs="Arial"/>
                <w:sz w:val="20"/>
              </w:rPr>
            </w:pPr>
            <w:hyperlink r:id="rId19" w:history="1">
              <w:r w:rsidR="00E779ED" w:rsidRPr="00D34C8E">
                <w:rPr>
                  <w:rStyle w:val="Hyperlink"/>
                  <w:rFonts w:cs="Arial"/>
                  <w:sz w:val="20"/>
                </w:rPr>
                <w:t>Improving school attendance: support for schools and local authorities - GOV.UK (www.gov.uk)</w:t>
              </w:r>
            </w:hyperlink>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F39F" w14:textId="5437B280" w:rsidR="00F12141" w:rsidRPr="00D34C8E" w:rsidRDefault="00E779ED" w:rsidP="00F12141">
            <w:pPr>
              <w:pStyle w:val="TableRow"/>
              <w:rPr>
                <w:rFonts w:cs="Arial"/>
                <w:sz w:val="20"/>
              </w:rPr>
            </w:pPr>
            <w:r w:rsidRPr="00D34C8E">
              <w:rPr>
                <w:rFonts w:cs="Arial"/>
                <w:color w:val="auto"/>
                <w:sz w:val="20"/>
                <w:szCs w:val="20"/>
              </w:rPr>
              <w:t>1,2,3,4</w:t>
            </w:r>
            <w:r w:rsidR="00A7219B">
              <w:rPr>
                <w:rFonts w:cs="Arial"/>
                <w:color w:val="auto"/>
                <w:sz w:val="20"/>
                <w:szCs w:val="20"/>
              </w:rPr>
              <w:t>,5</w:t>
            </w:r>
            <w:r w:rsidR="007E42DA" w:rsidRPr="00D34C8E">
              <w:rPr>
                <w:rFonts w:cs="Arial"/>
                <w:color w:val="auto"/>
                <w:sz w:val="20"/>
                <w:szCs w:val="20"/>
              </w:rPr>
              <w:t xml:space="preserve"> </w:t>
            </w:r>
          </w:p>
          <w:p w14:paraId="1CAF98DB" w14:textId="27AED8E3" w:rsidR="00583C85" w:rsidRPr="00D34C8E" w:rsidRDefault="00583C85">
            <w:pPr>
              <w:pStyle w:val="TableRowCentered"/>
              <w:jc w:val="left"/>
              <w:rPr>
                <w:rFonts w:cs="Arial"/>
                <w:sz w:val="20"/>
              </w:rPr>
            </w:pPr>
          </w:p>
        </w:tc>
      </w:tr>
      <w:tr w:rsidR="005821C5" w14:paraId="38FFE152" w14:textId="77777777" w:rsidTr="00481A0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1F0E2" w14:textId="77777777" w:rsidR="007E42DA" w:rsidRPr="00D34C8E" w:rsidRDefault="007E42DA" w:rsidP="007E42DA">
            <w:pPr>
              <w:rPr>
                <w:rFonts w:cs="Arial"/>
                <w:b/>
                <w:color w:val="auto"/>
                <w:sz w:val="20"/>
                <w:szCs w:val="20"/>
                <w:u w:val="single"/>
              </w:rPr>
            </w:pPr>
            <w:r w:rsidRPr="00D34C8E">
              <w:rPr>
                <w:rFonts w:cs="Arial"/>
                <w:b/>
                <w:color w:val="auto"/>
                <w:sz w:val="20"/>
                <w:szCs w:val="20"/>
                <w:u w:val="single"/>
              </w:rPr>
              <w:t>Improving social, emotional and mental health:</w:t>
            </w:r>
          </w:p>
          <w:p w14:paraId="4631B30C" w14:textId="03005C00" w:rsidR="007E42DA" w:rsidRPr="00D34C8E" w:rsidRDefault="007E42DA" w:rsidP="007E42DA">
            <w:pPr>
              <w:rPr>
                <w:rFonts w:cs="Arial"/>
                <w:sz w:val="20"/>
                <w:szCs w:val="20"/>
              </w:rPr>
            </w:pPr>
            <w:r w:rsidRPr="00D34C8E">
              <w:rPr>
                <w:rFonts w:cs="Arial"/>
                <w:sz w:val="20"/>
                <w:szCs w:val="20"/>
              </w:rPr>
              <w:t xml:space="preserve">Casey counselling sessions 2 whole day per week = 10 sessions. Cost to include a CPD session for staff to provide an insight into the counselling strategies that maybe used. </w:t>
            </w:r>
          </w:p>
          <w:p w14:paraId="3FD619EE" w14:textId="39C10E5C" w:rsidR="007E42DA" w:rsidRPr="00D34C8E" w:rsidRDefault="00690686" w:rsidP="007E42DA">
            <w:pPr>
              <w:rPr>
                <w:rFonts w:cs="Arial"/>
                <w:b/>
                <w:sz w:val="20"/>
                <w:szCs w:val="20"/>
              </w:rPr>
            </w:pPr>
            <w:r>
              <w:rPr>
                <w:rFonts w:cs="Arial"/>
                <w:b/>
                <w:sz w:val="20"/>
                <w:szCs w:val="20"/>
              </w:rPr>
              <w:t>£9265</w:t>
            </w:r>
          </w:p>
          <w:p w14:paraId="4FB6398F" w14:textId="77777777" w:rsidR="005821C5" w:rsidRPr="00D34C8E" w:rsidRDefault="005821C5">
            <w:pPr>
              <w:pStyle w:val="TableRow"/>
              <w:rPr>
                <w:rFonts w:cs="Arial"/>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78AD" w14:textId="77777777" w:rsidR="00481A0B" w:rsidRPr="00D34C8E" w:rsidRDefault="00481A0B" w:rsidP="00481A0B">
            <w:pPr>
              <w:pStyle w:val="TableRowCentered"/>
              <w:jc w:val="left"/>
              <w:rPr>
                <w:rFonts w:cs="Arial"/>
                <w:sz w:val="20"/>
              </w:rPr>
            </w:pPr>
          </w:p>
          <w:p w14:paraId="3D406C40" w14:textId="77777777" w:rsidR="00481A0B" w:rsidRPr="00D34C8E" w:rsidRDefault="00C23ABE" w:rsidP="00481A0B">
            <w:pPr>
              <w:pStyle w:val="TableRowCentered"/>
              <w:jc w:val="left"/>
              <w:rPr>
                <w:rFonts w:cs="Arial"/>
                <w:sz w:val="20"/>
              </w:rPr>
            </w:pPr>
            <w:hyperlink r:id="rId20" w:history="1">
              <w:r w:rsidR="00481A0B" w:rsidRPr="00D34C8E">
                <w:rPr>
                  <w:rStyle w:val="Hyperlink"/>
                  <w:rFonts w:cs="Arial"/>
                  <w:sz w:val="20"/>
                </w:rPr>
                <w:t>https://educationendowmentfoundation.org.uk/public/files/Publications/SEL/EEF_Social_and_Emotional_Learning.pdf</w:t>
              </w:r>
            </w:hyperlink>
            <w:r w:rsidR="00481A0B" w:rsidRPr="00D34C8E">
              <w:rPr>
                <w:rFonts w:cs="Arial"/>
                <w:sz w:val="20"/>
              </w:rPr>
              <w:t xml:space="preserve"> </w:t>
            </w:r>
          </w:p>
          <w:p w14:paraId="6B85A033" w14:textId="77777777" w:rsidR="00481A0B" w:rsidRPr="00D34C8E" w:rsidRDefault="00481A0B" w:rsidP="00481A0B">
            <w:pPr>
              <w:pStyle w:val="TableRowCentered"/>
              <w:jc w:val="left"/>
              <w:rPr>
                <w:rFonts w:cs="Arial"/>
                <w:color w:val="263238"/>
                <w:sz w:val="20"/>
                <w:shd w:val="clear" w:color="auto" w:fill="FFFFFF"/>
              </w:rPr>
            </w:pPr>
            <w:r w:rsidRPr="00D34C8E">
              <w:rPr>
                <w:rFonts w:cs="Arial"/>
                <w:color w:val="263238"/>
                <w:sz w:val="20"/>
                <w:shd w:val="clear" w:color="auto" w:fill="FFFFFF"/>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r w:rsidRPr="00D34C8E">
              <w:rPr>
                <w:rFonts w:cs="Arial"/>
                <w:color w:val="263238"/>
                <w:sz w:val="20"/>
              </w:rPr>
              <w:br/>
            </w:r>
            <w:r w:rsidRPr="00D34C8E">
              <w:rPr>
                <w:rFonts w:cs="Arial"/>
                <w:color w:val="263238"/>
                <w:sz w:val="20"/>
              </w:rPr>
              <w:br/>
            </w:r>
            <w:r w:rsidRPr="00D34C8E">
              <w:rPr>
                <w:rFonts w:cs="Arial"/>
                <w:color w:val="263238"/>
                <w:sz w:val="20"/>
                <w:shd w:val="clear" w:color="auto" w:fill="FFFFFF"/>
              </w:rPr>
              <w:t>SEL interventions in education are shown to improve SEL skills and are therefore likely to support disadvantaged pupils to understand and engage in healthy relationships with peers and emotional self-regulation, both of which may subsequently increase academic attainment.</w:t>
            </w:r>
          </w:p>
          <w:p w14:paraId="1CCAFFA3" w14:textId="005FB347" w:rsidR="005821C5" w:rsidRPr="00D34C8E" w:rsidRDefault="00481A0B" w:rsidP="00481A0B">
            <w:pPr>
              <w:pStyle w:val="TableRowCentered"/>
              <w:jc w:val="left"/>
              <w:rPr>
                <w:rFonts w:cs="Arial"/>
                <w:sz w:val="20"/>
              </w:rPr>
            </w:pPr>
            <w:r w:rsidRPr="00D34C8E">
              <w:rPr>
                <w:rFonts w:cs="Arial"/>
                <w:color w:val="auto"/>
                <w:sz w:val="20"/>
                <w:shd w:val="clear" w:color="auto" w:fill="FAFAFA"/>
              </w:rPr>
              <w:t>Social and emotional learning approaches have a positive impact, on average, of 4 months’ additional progress in academic outcomes over the course of an academic year.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D558" w14:textId="77777777" w:rsidR="005821C5" w:rsidRDefault="00A7219B">
            <w:pPr>
              <w:pStyle w:val="TableRowCentered"/>
              <w:jc w:val="left"/>
              <w:rPr>
                <w:rFonts w:cs="Arial"/>
                <w:sz w:val="20"/>
              </w:rPr>
            </w:pPr>
            <w:r>
              <w:rPr>
                <w:rFonts w:cs="Arial"/>
                <w:sz w:val="20"/>
              </w:rPr>
              <w:t>2,4</w:t>
            </w:r>
          </w:p>
          <w:p w14:paraId="32BDDE24" w14:textId="497A99CD" w:rsidR="00750ED7" w:rsidRPr="00D34C8E" w:rsidRDefault="00750ED7">
            <w:pPr>
              <w:pStyle w:val="TableRowCentered"/>
              <w:jc w:val="left"/>
              <w:rPr>
                <w:rFonts w:cs="Arial"/>
                <w:sz w:val="20"/>
              </w:rPr>
            </w:pPr>
          </w:p>
        </w:tc>
      </w:tr>
      <w:tr w:rsidR="005821C5" w14:paraId="124F1C40" w14:textId="77777777" w:rsidTr="00481A0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5E584" w14:textId="77777777" w:rsidR="007E42DA" w:rsidRPr="00D34C8E" w:rsidRDefault="007E42DA" w:rsidP="007E42DA">
            <w:pPr>
              <w:rPr>
                <w:rFonts w:cs="Arial"/>
                <w:b/>
                <w:sz w:val="20"/>
                <w:szCs w:val="20"/>
                <w:u w:val="single"/>
              </w:rPr>
            </w:pPr>
            <w:r w:rsidRPr="00D34C8E">
              <w:rPr>
                <w:rFonts w:cs="Arial"/>
                <w:b/>
                <w:sz w:val="20"/>
                <w:szCs w:val="20"/>
                <w:u w:val="single"/>
              </w:rPr>
              <w:t>Providing experiences:</w:t>
            </w:r>
          </w:p>
          <w:p w14:paraId="0212B281" w14:textId="05C6AF88" w:rsidR="007E42DA" w:rsidRPr="00D34C8E" w:rsidRDefault="007E42DA" w:rsidP="007E42DA">
            <w:pPr>
              <w:rPr>
                <w:rFonts w:cs="Arial"/>
                <w:sz w:val="20"/>
                <w:szCs w:val="20"/>
              </w:rPr>
            </w:pPr>
            <w:r w:rsidRPr="00D34C8E">
              <w:rPr>
                <w:rFonts w:cs="Arial"/>
                <w:sz w:val="20"/>
                <w:szCs w:val="20"/>
              </w:rPr>
              <w:t>Curriculum enrichment subsidy. £6000</w:t>
            </w:r>
          </w:p>
          <w:p w14:paraId="32489F57" w14:textId="1CE8FDAA" w:rsidR="007E42DA" w:rsidRPr="00D34C8E" w:rsidRDefault="007E42DA" w:rsidP="007E42DA">
            <w:pPr>
              <w:rPr>
                <w:rFonts w:cs="Arial"/>
                <w:sz w:val="20"/>
                <w:szCs w:val="20"/>
              </w:rPr>
            </w:pPr>
            <w:r w:rsidRPr="00D34C8E">
              <w:rPr>
                <w:rFonts w:cs="Arial"/>
                <w:sz w:val="20"/>
                <w:szCs w:val="20"/>
              </w:rPr>
              <w:t>Residential experiences £4000</w:t>
            </w:r>
          </w:p>
          <w:p w14:paraId="31582166" w14:textId="346BBC4F" w:rsidR="007E42DA" w:rsidRPr="00D34C8E" w:rsidRDefault="007E42DA" w:rsidP="007E42DA">
            <w:pPr>
              <w:rPr>
                <w:rFonts w:cs="Arial"/>
                <w:sz w:val="20"/>
                <w:szCs w:val="20"/>
              </w:rPr>
            </w:pPr>
          </w:p>
          <w:p w14:paraId="2423F3A0" w14:textId="6313057C" w:rsidR="007E42DA" w:rsidRPr="00D34C8E" w:rsidRDefault="007E42DA" w:rsidP="007E42DA">
            <w:pPr>
              <w:rPr>
                <w:rFonts w:cs="Arial"/>
                <w:sz w:val="20"/>
                <w:szCs w:val="20"/>
              </w:rPr>
            </w:pPr>
            <w:r w:rsidRPr="00D34C8E">
              <w:rPr>
                <w:rFonts w:cs="Arial"/>
                <w:sz w:val="20"/>
                <w:szCs w:val="20"/>
              </w:rPr>
              <w:t>Total £10,000</w:t>
            </w:r>
          </w:p>
          <w:p w14:paraId="13C95D18" w14:textId="77777777" w:rsidR="005821C5" w:rsidRPr="00D34C8E" w:rsidRDefault="005821C5">
            <w:pPr>
              <w:pStyle w:val="TableRow"/>
              <w:rPr>
                <w:rFonts w:cs="Arial"/>
                <w:sz w:val="20"/>
                <w:szCs w:val="20"/>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19DCF" w14:textId="77777777" w:rsidR="00D34C8E" w:rsidRPr="00D34C8E" w:rsidRDefault="00D34C8E" w:rsidP="00D34C8E">
            <w:pPr>
              <w:rPr>
                <w:rFonts w:cs="Arial"/>
                <w:sz w:val="20"/>
                <w:szCs w:val="20"/>
              </w:rPr>
            </w:pPr>
            <w:r w:rsidRPr="00D34C8E">
              <w:rPr>
                <w:rFonts w:cs="Arial"/>
                <w:sz w:val="20"/>
                <w:szCs w:val="20"/>
              </w:rPr>
              <w:t xml:space="preserve">Learning supported by trips that are planned carefully to enhance the school’s curriculum. </w:t>
            </w:r>
          </w:p>
          <w:p w14:paraId="5FBFE6FD" w14:textId="77777777" w:rsidR="00D34C8E" w:rsidRPr="00D34C8E" w:rsidRDefault="00D34C8E" w:rsidP="00D34C8E">
            <w:pPr>
              <w:rPr>
                <w:rFonts w:cs="Arial"/>
                <w:sz w:val="20"/>
                <w:szCs w:val="20"/>
              </w:rPr>
            </w:pPr>
          </w:p>
          <w:p w14:paraId="600D5B1D" w14:textId="77777777" w:rsidR="00D34C8E" w:rsidRPr="00D34C8E" w:rsidRDefault="00D34C8E" w:rsidP="00D34C8E">
            <w:pPr>
              <w:rPr>
                <w:rFonts w:cs="Arial"/>
                <w:sz w:val="20"/>
                <w:szCs w:val="20"/>
              </w:rPr>
            </w:pPr>
            <w:r w:rsidRPr="00D34C8E">
              <w:rPr>
                <w:rFonts w:cs="Arial"/>
                <w:sz w:val="20"/>
                <w:szCs w:val="20"/>
              </w:rPr>
              <w:t xml:space="preserve">Learning embedded and extended through real first-hand experiences with purposeful and relevant learning opportunities, allowing them to produce quality final products, particularly in writing. </w:t>
            </w:r>
          </w:p>
          <w:p w14:paraId="7B6D5441" w14:textId="77777777" w:rsidR="00D34C8E" w:rsidRPr="00D34C8E" w:rsidRDefault="00D34C8E" w:rsidP="00D34C8E">
            <w:pPr>
              <w:rPr>
                <w:rFonts w:cs="Arial"/>
                <w:sz w:val="20"/>
                <w:szCs w:val="20"/>
              </w:rPr>
            </w:pPr>
          </w:p>
          <w:p w14:paraId="2C4630F5" w14:textId="77777777" w:rsidR="00D34C8E" w:rsidRPr="00D34C8E" w:rsidRDefault="00D34C8E" w:rsidP="00D34C8E">
            <w:pPr>
              <w:rPr>
                <w:rFonts w:cs="Arial"/>
                <w:sz w:val="20"/>
                <w:szCs w:val="20"/>
              </w:rPr>
            </w:pPr>
          </w:p>
          <w:p w14:paraId="1BD0FDD9" w14:textId="77777777" w:rsidR="00D34C8E" w:rsidRPr="00D34C8E" w:rsidRDefault="00D34C8E" w:rsidP="00D34C8E">
            <w:pPr>
              <w:rPr>
                <w:rFonts w:cs="Arial"/>
                <w:sz w:val="20"/>
                <w:szCs w:val="20"/>
              </w:rPr>
            </w:pPr>
            <w:r w:rsidRPr="00D34C8E">
              <w:rPr>
                <w:rFonts w:cs="Arial"/>
                <w:sz w:val="20"/>
                <w:szCs w:val="20"/>
              </w:rPr>
              <w:t xml:space="preserve">Raised aspiration and cultural capital. </w:t>
            </w:r>
          </w:p>
          <w:p w14:paraId="2F052382" w14:textId="77777777" w:rsidR="005821C5" w:rsidRPr="00D34C8E" w:rsidRDefault="005821C5">
            <w:pPr>
              <w:pStyle w:val="TableRowCentered"/>
              <w:jc w:val="left"/>
              <w:rPr>
                <w:rFonts w:cs="Arial"/>
                <w:sz w:val="20"/>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4D0CC" w14:textId="77777777" w:rsidR="005821C5" w:rsidRDefault="00A7219B">
            <w:pPr>
              <w:pStyle w:val="TableRowCentered"/>
              <w:jc w:val="left"/>
              <w:rPr>
                <w:rFonts w:cs="Arial"/>
                <w:sz w:val="20"/>
              </w:rPr>
            </w:pPr>
            <w:r>
              <w:rPr>
                <w:rFonts w:cs="Arial"/>
                <w:sz w:val="20"/>
              </w:rPr>
              <w:t>2,4,5</w:t>
            </w:r>
          </w:p>
          <w:p w14:paraId="4331D356" w14:textId="77777777" w:rsidR="00750ED7" w:rsidRDefault="00750ED7">
            <w:pPr>
              <w:pStyle w:val="TableRowCentered"/>
              <w:jc w:val="left"/>
              <w:rPr>
                <w:rFonts w:cs="Arial"/>
                <w:sz w:val="20"/>
              </w:rPr>
            </w:pPr>
          </w:p>
          <w:p w14:paraId="732FF822" w14:textId="1A4531D5" w:rsidR="00750ED7" w:rsidRPr="00D34C8E" w:rsidRDefault="00750ED7">
            <w:pPr>
              <w:pStyle w:val="TableRowCentered"/>
              <w:jc w:val="left"/>
              <w:rPr>
                <w:rFonts w:cs="Arial"/>
                <w:sz w:val="20"/>
              </w:rPr>
            </w:pPr>
          </w:p>
        </w:tc>
      </w:tr>
      <w:tr w:rsidR="005821C5" w14:paraId="1405D773" w14:textId="77777777" w:rsidTr="00481A0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E199D" w14:textId="29D0D6CB" w:rsidR="00AF7713" w:rsidRPr="00D34C8E" w:rsidRDefault="00AF7713">
            <w:pPr>
              <w:pStyle w:val="TableRow"/>
              <w:rPr>
                <w:rFonts w:cs="Arial"/>
                <w:b/>
                <w:sz w:val="20"/>
                <w:szCs w:val="20"/>
                <w:u w:val="single"/>
              </w:rPr>
            </w:pPr>
            <w:r w:rsidRPr="00D34C8E">
              <w:rPr>
                <w:rFonts w:cs="Arial"/>
                <w:b/>
                <w:sz w:val="20"/>
                <w:szCs w:val="20"/>
                <w:u w:val="single"/>
              </w:rPr>
              <w:t>R</w:t>
            </w:r>
            <w:r w:rsidR="00741671" w:rsidRPr="00D34C8E">
              <w:rPr>
                <w:rFonts w:cs="Arial"/>
                <w:b/>
                <w:sz w:val="20"/>
                <w:szCs w:val="20"/>
                <w:u w:val="single"/>
              </w:rPr>
              <w:t>eading for pleasure and r</w:t>
            </w:r>
            <w:r w:rsidRPr="00D34C8E">
              <w:rPr>
                <w:rFonts w:cs="Arial"/>
                <w:b/>
                <w:sz w:val="20"/>
                <w:szCs w:val="20"/>
                <w:u w:val="single"/>
              </w:rPr>
              <w:t>aising aspiration:</w:t>
            </w:r>
          </w:p>
          <w:p w14:paraId="6717BC9A" w14:textId="77777777" w:rsidR="00AF7713" w:rsidRPr="00D34C8E" w:rsidRDefault="00AF7713" w:rsidP="00AF7713">
            <w:pPr>
              <w:pStyle w:val="TableRow"/>
              <w:rPr>
                <w:rFonts w:cs="Arial"/>
                <w:sz w:val="20"/>
                <w:szCs w:val="20"/>
              </w:rPr>
            </w:pPr>
            <w:r w:rsidRPr="00D34C8E">
              <w:rPr>
                <w:rFonts w:cs="Arial"/>
                <w:sz w:val="20"/>
                <w:szCs w:val="20"/>
              </w:rPr>
              <w:t xml:space="preserve">Author in residence – Patron of Reading. </w:t>
            </w:r>
          </w:p>
          <w:p w14:paraId="013D8BD7" w14:textId="77777777" w:rsidR="00AF7713" w:rsidRPr="00D34C8E" w:rsidRDefault="00AF7713" w:rsidP="00AF7713">
            <w:pPr>
              <w:pStyle w:val="TableRow"/>
              <w:rPr>
                <w:rFonts w:cs="Arial"/>
                <w:sz w:val="20"/>
                <w:szCs w:val="20"/>
              </w:rPr>
            </w:pPr>
            <w:r w:rsidRPr="00D34C8E">
              <w:rPr>
                <w:rFonts w:cs="Arial"/>
                <w:sz w:val="20"/>
                <w:szCs w:val="20"/>
              </w:rPr>
              <w:t>6 x workshops across the year.</w:t>
            </w:r>
          </w:p>
          <w:p w14:paraId="7FFB8C4D" w14:textId="7EB3D0F1" w:rsidR="005821C5" w:rsidRPr="00D34C8E" w:rsidRDefault="00AF7713" w:rsidP="00AF7713">
            <w:pPr>
              <w:pStyle w:val="TableRow"/>
              <w:rPr>
                <w:rFonts w:cs="Arial"/>
                <w:b/>
                <w:sz w:val="20"/>
                <w:szCs w:val="20"/>
                <w:u w:val="single"/>
              </w:rPr>
            </w:pPr>
            <w:r w:rsidRPr="00D34C8E">
              <w:rPr>
                <w:rFonts w:cs="Arial"/>
                <w:sz w:val="20"/>
                <w:szCs w:val="20"/>
              </w:rPr>
              <w:t>£2000</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7DC5" w14:textId="27002271" w:rsidR="00E779ED" w:rsidRPr="00D34C8E" w:rsidRDefault="00C23ABE">
            <w:pPr>
              <w:pStyle w:val="TableRowCentered"/>
              <w:jc w:val="left"/>
              <w:rPr>
                <w:rFonts w:cs="Arial"/>
                <w:sz w:val="20"/>
              </w:rPr>
            </w:pPr>
            <w:hyperlink r:id="rId21" w:history="1">
              <w:r w:rsidR="00E779ED" w:rsidRPr="00D34C8E">
                <w:rPr>
                  <w:rStyle w:val="Hyperlink"/>
                  <w:rFonts w:cs="Arial"/>
                  <w:sz w:val="20"/>
                </w:rPr>
                <w:t>https://assets.publishing.service.gov.uk/government/uploads/system/uploads/attachment_data/file/284286/reading_for_pleasure.pdf</w:t>
              </w:r>
            </w:hyperlink>
          </w:p>
          <w:p w14:paraId="7E047DE5" w14:textId="77777777" w:rsidR="00741671" w:rsidRPr="00D34C8E" w:rsidRDefault="00741671" w:rsidP="00741671">
            <w:pPr>
              <w:pStyle w:val="TableRowCentered"/>
              <w:jc w:val="left"/>
              <w:rPr>
                <w:rFonts w:cs="Arial"/>
                <w:sz w:val="20"/>
              </w:rPr>
            </w:pPr>
            <w:r w:rsidRPr="00D34C8E">
              <w:rPr>
                <w:rFonts w:cs="Arial"/>
                <w:sz w:val="20"/>
              </w:rPr>
              <w:t xml:space="preserve">A growing number of studies show that promoting reading can have a major impact on children and adults and their future. Upon reviewing the research literature, Clark and Rumbold (2006) identify several main areas of the benefits to reading for pleasure: </w:t>
            </w:r>
          </w:p>
          <w:p w14:paraId="480379C2" w14:textId="77777777" w:rsidR="00741671" w:rsidRPr="00D34C8E" w:rsidRDefault="00741671" w:rsidP="00741671">
            <w:pPr>
              <w:pStyle w:val="TableRowCentered"/>
              <w:jc w:val="left"/>
              <w:rPr>
                <w:rFonts w:cs="Arial"/>
                <w:sz w:val="20"/>
              </w:rPr>
            </w:pPr>
            <w:r w:rsidRPr="00D34C8E">
              <w:rPr>
                <w:rFonts w:cs="Arial"/>
                <w:sz w:val="20"/>
              </w:rPr>
              <w:t>• Reading attainment and writing ability;</w:t>
            </w:r>
          </w:p>
          <w:p w14:paraId="2ED5902A" w14:textId="77777777" w:rsidR="00741671" w:rsidRPr="00D34C8E" w:rsidRDefault="00741671" w:rsidP="00741671">
            <w:pPr>
              <w:pStyle w:val="TableRowCentered"/>
              <w:jc w:val="left"/>
              <w:rPr>
                <w:rFonts w:cs="Arial"/>
                <w:sz w:val="20"/>
              </w:rPr>
            </w:pPr>
            <w:r w:rsidRPr="00D34C8E">
              <w:rPr>
                <w:rFonts w:cs="Arial"/>
                <w:sz w:val="20"/>
              </w:rPr>
              <w:t xml:space="preserve">• Text comprehension and grammar; </w:t>
            </w:r>
          </w:p>
          <w:p w14:paraId="280FFD6C" w14:textId="77777777" w:rsidR="00741671" w:rsidRPr="00D34C8E" w:rsidRDefault="00741671" w:rsidP="00741671">
            <w:pPr>
              <w:pStyle w:val="TableRowCentered"/>
              <w:jc w:val="left"/>
              <w:rPr>
                <w:rFonts w:cs="Arial"/>
                <w:sz w:val="20"/>
              </w:rPr>
            </w:pPr>
            <w:r w:rsidRPr="00D34C8E">
              <w:rPr>
                <w:rFonts w:cs="Arial"/>
                <w:sz w:val="20"/>
              </w:rPr>
              <w:t xml:space="preserve">• Breadth of vocabulary; </w:t>
            </w:r>
          </w:p>
          <w:p w14:paraId="0C99A7AF" w14:textId="77777777" w:rsidR="00741671" w:rsidRPr="00D34C8E" w:rsidRDefault="00741671" w:rsidP="00741671">
            <w:pPr>
              <w:pStyle w:val="TableRowCentered"/>
              <w:jc w:val="left"/>
              <w:rPr>
                <w:rFonts w:cs="Arial"/>
                <w:sz w:val="20"/>
              </w:rPr>
            </w:pPr>
            <w:r w:rsidRPr="00D34C8E">
              <w:rPr>
                <w:rFonts w:cs="Arial"/>
                <w:sz w:val="20"/>
              </w:rPr>
              <w:t xml:space="preserve">• Positive reading attitudes; </w:t>
            </w:r>
          </w:p>
          <w:p w14:paraId="27C2538F" w14:textId="77777777" w:rsidR="00741671" w:rsidRPr="00D34C8E" w:rsidRDefault="00741671" w:rsidP="00741671">
            <w:pPr>
              <w:pStyle w:val="TableRowCentered"/>
              <w:jc w:val="left"/>
              <w:rPr>
                <w:rFonts w:cs="Arial"/>
                <w:sz w:val="20"/>
              </w:rPr>
            </w:pPr>
            <w:r w:rsidRPr="00D34C8E">
              <w:rPr>
                <w:rFonts w:cs="Arial"/>
                <w:sz w:val="20"/>
              </w:rPr>
              <w:t xml:space="preserve">• Greater self-confidence as a reader; </w:t>
            </w:r>
          </w:p>
          <w:p w14:paraId="07E65E26" w14:textId="77777777" w:rsidR="00741671" w:rsidRPr="00D34C8E" w:rsidRDefault="00741671" w:rsidP="00741671">
            <w:pPr>
              <w:pStyle w:val="TableRowCentered"/>
              <w:jc w:val="left"/>
              <w:rPr>
                <w:rFonts w:cs="Arial"/>
                <w:sz w:val="20"/>
              </w:rPr>
            </w:pPr>
            <w:r w:rsidRPr="00D34C8E">
              <w:rPr>
                <w:rFonts w:cs="Arial"/>
                <w:sz w:val="20"/>
              </w:rPr>
              <w:t xml:space="preserve">• Pleasure in reading in later life; </w:t>
            </w:r>
          </w:p>
          <w:p w14:paraId="42690E32" w14:textId="77777777" w:rsidR="00741671" w:rsidRPr="00D34C8E" w:rsidRDefault="00741671" w:rsidP="00741671">
            <w:pPr>
              <w:pStyle w:val="TableRowCentered"/>
              <w:jc w:val="left"/>
              <w:rPr>
                <w:rFonts w:cs="Arial"/>
                <w:sz w:val="20"/>
              </w:rPr>
            </w:pPr>
            <w:r w:rsidRPr="00D34C8E">
              <w:rPr>
                <w:rFonts w:cs="Arial"/>
                <w:sz w:val="20"/>
              </w:rPr>
              <w:t xml:space="preserve">• General knowledge; </w:t>
            </w:r>
          </w:p>
          <w:p w14:paraId="23113139" w14:textId="77777777" w:rsidR="00741671" w:rsidRPr="00D34C8E" w:rsidRDefault="00741671" w:rsidP="00741671">
            <w:pPr>
              <w:pStyle w:val="TableRowCentered"/>
              <w:jc w:val="left"/>
              <w:rPr>
                <w:rFonts w:cs="Arial"/>
                <w:sz w:val="20"/>
              </w:rPr>
            </w:pPr>
            <w:r w:rsidRPr="00D34C8E">
              <w:rPr>
                <w:rFonts w:cs="Arial"/>
                <w:sz w:val="20"/>
              </w:rPr>
              <w:t xml:space="preserve">• A better understanding of other cultures; </w:t>
            </w:r>
          </w:p>
          <w:p w14:paraId="2ABB6617" w14:textId="77777777" w:rsidR="00741671" w:rsidRPr="00D34C8E" w:rsidRDefault="00741671" w:rsidP="00741671">
            <w:pPr>
              <w:pStyle w:val="TableRowCentered"/>
              <w:jc w:val="left"/>
              <w:rPr>
                <w:rFonts w:cs="Arial"/>
                <w:sz w:val="20"/>
              </w:rPr>
            </w:pPr>
            <w:r w:rsidRPr="00D34C8E">
              <w:rPr>
                <w:rFonts w:cs="Arial"/>
                <w:sz w:val="20"/>
              </w:rPr>
              <w:t xml:space="preserve">• Community participation; and </w:t>
            </w:r>
          </w:p>
          <w:p w14:paraId="461CD564" w14:textId="77777777" w:rsidR="005821C5" w:rsidRPr="00D34C8E" w:rsidRDefault="00741671" w:rsidP="00741671">
            <w:pPr>
              <w:pStyle w:val="TableRowCentered"/>
              <w:jc w:val="left"/>
              <w:rPr>
                <w:rFonts w:cs="Arial"/>
                <w:sz w:val="20"/>
              </w:rPr>
            </w:pPr>
            <w:r w:rsidRPr="00D34C8E">
              <w:rPr>
                <w:rFonts w:cs="Arial"/>
                <w:sz w:val="20"/>
              </w:rPr>
              <w:t>• A greater insight into human nature and decision-making.</w:t>
            </w:r>
          </w:p>
          <w:p w14:paraId="704269FE" w14:textId="641649DF" w:rsidR="00741671" w:rsidRPr="00D34C8E" w:rsidRDefault="00741671" w:rsidP="00741671">
            <w:pPr>
              <w:pStyle w:val="TableRowCentered"/>
              <w:ind w:left="0"/>
              <w:jc w:val="left"/>
              <w:rPr>
                <w:rFonts w:cs="Arial"/>
                <w:sz w:val="20"/>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96D8E" w14:textId="77777777" w:rsidR="005821C5" w:rsidRDefault="00A7219B">
            <w:pPr>
              <w:pStyle w:val="TableRowCentered"/>
              <w:jc w:val="left"/>
              <w:rPr>
                <w:rFonts w:cs="Arial"/>
                <w:sz w:val="20"/>
              </w:rPr>
            </w:pPr>
            <w:r>
              <w:rPr>
                <w:rFonts w:cs="Arial"/>
                <w:sz w:val="20"/>
              </w:rPr>
              <w:t>1,2,3,5</w:t>
            </w:r>
          </w:p>
          <w:p w14:paraId="5954C7E2" w14:textId="77777777" w:rsidR="00750ED7" w:rsidRDefault="00750ED7">
            <w:pPr>
              <w:pStyle w:val="TableRowCentered"/>
              <w:jc w:val="left"/>
              <w:rPr>
                <w:rFonts w:cs="Arial"/>
                <w:sz w:val="20"/>
              </w:rPr>
            </w:pPr>
          </w:p>
          <w:p w14:paraId="3EE93793" w14:textId="6CB980E2" w:rsidR="00750ED7" w:rsidRPr="00D34C8E" w:rsidRDefault="00750ED7">
            <w:pPr>
              <w:pStyle w:val="TableRowCentered"/>
              <w:jc w:val="left"/>
              <w:rPr>
                <w:rFonts w:cs="Arial"/>
                <w:sz w:val="20"/>
              </w:rPr>
            </w:pPr>
          </w:p>
        </w:tc>
      </w:tr>
      <w:tr w:rsidR="00690686" w14:paraId="2DD1DA54" w14:textId="77777777" w:rsidTr="00481A0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40E7" w14:textId="77777777" w:rsidR="009D176E" w:rsidRDefault="009D176E">
            <w:pPr>
              <w:pStyle w:val="TableRow"/>
              <w:rPr>
                <w:rFonts w:cs="Arial"/>
                <w:b/>
                <w:sz w:val="20"/>
                <w:szCs w:val="20"/>
                <w:u w:val="single"/>
              </w:rPr>
            </w:pPr>
          </w:p>
          <w:p w14:paraId="01DEBCE0" w14:textId="13E0182D" w:rsidR="00690686" w:rsidRPr="00D34C8E" w:rsidRDefault="009D176E">
            <w:pPr>
              <w:pStyle w:val="TableRow"/>
              <w:rPr>
                <w:rFonts w:cs="Arial"/>
                <w:b/>
                <w:sz w:val="20"/>
                <w:szCs w:val="20"/>
                <w:u w:val="single"/>
              </w:rPr>
            </w:pPr>
            <w:r>
              <w:rPr>
                <w:rFonts w:cs="Arial"/>
                <w:b/>
                <w:sz w:val="20"/>
                <w:szCs w:val="20"/>
                <w:u w:val="single"/>
              </w:rPr>
              <w:t>£7661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09831" w14:textId="77777777" w:rsidR="00690686" w:rsidRDefault="00690686">
            <w:pPr>
              <w:pStyle w:val="TableRowCentered"/>
              <w:jc w:val="left"/>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B8033" w14:textId="6050A685" w:rsidR="00690686" w:rsidRDefault="00F12141">
            <w:pPr>
              <w:pStyle w:val="TableRowCentered"/>
              <w:jc w:val="left"/>
              <w:rPr>
                <w:rFonts w:cs="Arial"/>
                <w:sz w:val="20"/>
              </w:rPr>
            </w:pPr>
            <w:r>
              <w:rPr>
                <w:rFonts w:cs="Arial"/>
                <w:sz w:val="20"/>
              </w:rPr>
              <w:t>1 -5</w:t>
            </w:r>
          </w:p>
        </w:tc>
      </w:tr>
    </w:tbl>
    <w:p w14:paraId="2A7D5540" w14:textId="77777777" w:rsidR="00E66558" w:rsidRDefault="00E66558">
      <w:pPr>
        <w:spacing w:before="240" w:after="0"/>
        <w:rPr>
          <w:b/>
          <w:bCs/>
          <w:color w:val="104F75"/>
          <w:sz w:val="28"/>
          <w:szCs w:val="28"/>
        </w:rPr>
      </w:pPr>
    </w:p>
    <w:p w14:paraId="2A7D5541" w14:textId="0EA2289C" w:rsidR="00E66558" w:rsidRPr="00690686" w:rsidRDefault="00690686" w:rsidP="00120AB1">
      <w:pPr>
        <w:rPr>
          <w:b/>
          <w:bCs/>
          <w:color w:val="104F75"/>
          <w:sz w:val="28"/>
          <w:szCs w:val="28"/>
        </w:rPr>
      </w:pPr>
      <w:r>
        <w:rPr>
          <w:b/>
          <w:bCs/>
          <w:color w:val="104F75"/>
          <w:sz w:val="28"/>
          <w:szCs w:val="28"/>
        </w:rPr>
        <w:t>Tota</w:t>
      </w:r>
      <w:r w:rsidR="005F14DA">
        <w:rPr>
          <w:b/>
          <w:bCs/>
          <w:color w:val="104F75"/>
          <w:sz w:val="28"/>
          <w:szCs w:val="28"/>
        </w:rPr>
        <w:t>l budgeted cost: £213,358.50 (</w:t>
      </w:r>
      <w:r>
        <w:rPr>
          <w:b/>
          <w:bCs/>
          <w:color w:val="104F75"/>
          <w:sz w:val="28"/>
          <w:szCs w:val="28"/>
        </w:rPr>
        <w:t>plus £5,030 – school led tuition funding)</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3CAA2" w14:textId="51F0B145" w:rsidR="000C225D" w:rsidRDefault="000C225D" w:rsidP="00E270D1">
            <w:pPr>
              <w:tabs>
                <w:tab w:val="center" w:pos="5233"/>
                <w:tab w:val="left" w:pos="8655"/>
              </w:tabs>
              <w:spacing w:after="0"/>
              <w:rPr>
                <w:color w:val="auto"/>
                <w:sz w:val="20"/>
                <w:szCs w:val="20"/>
              </w:rPr>
            </w:pPr>
            <w:r w:rsidRPr="005669B3">
              <w:rPr>
                <w:sz w:val="20"/>
              </w:rPr>
              <w:t xml:space="preserve">Our internal assessments during 2020/21 suggested that the performance of disadvantaged pupils was lower than in the previous year in key areas of the curriculum. </w:t>
            </w:r>
            <w:r w:rsidR="00923044" w:rsidRPr="005669B3">
              <w:rPr>
                <w:sz w:val="20"/>
              </w:rPr>
              <w:t>T</w:t>
            </w:r>
            <w:r w:rsidRPr="005669B3">
              <w:rPr>
                <w:sz w:val="20"/>
              </w:rPr>
              <w:t xml:space="preserve">he outcomes we aimed to achieve in our previous strategy by the end of 2020/21 were therefore not fully realised. </w:t>
            </w:r>
            <w:r w:rsidR="00E270D1">
              <w:rPr>
                <w:sz w:val="20"/>
              </w:rPr>
              <w:t xml:space="preserve">It should be noted however, that </w:t>
            </w:r>
            <w:r w:rsidR="00E270D1">
              <w:rPr>
                <w:sz w:val="20"/>
                <w:szCs w:val="20"/>
              </w:rPr>
              <w:t>all assessment judgements for the academic year 2020/21 have been made following advice and guidance from the local authority following the principle of ‘best fit’ for this academic year only. It will not be possible, therefore, to make direct comparisons to data and outcomes from previous or future years.</w:t>
            </w:r>
          </w:p>
          <w:p w14:paraId="19CD8B05" w14:textId="77777777" w:rsidR="00E270D1" w:rsidRPr="00E270D1" w:rsidRDefault="00E270D1" w:rsidP="00E270D1">
            <w:pPr>
              <w:tabs>
                <w:tab w:val="center" w:pos="5233"/>
                <w:tab w:val="left" w:pos="8655"/>
              </w:tabs>
              <w:spacing w:after="0"/>
              <w:rPr>
                <w:color w:val="auto"/>
                <w:sz w:val="20"/>
                <w:szCs w:val="20"/>
              </w:rPr>
            </w:pPr>
          </w:p>
          <w:p w14:paraId="1A52FA7F" w14:textId="1838FBF7" w:rsidR="000C225D" w:rsidRPr="005669B3" w:rsidRDefault="000C225D" w:rsidP="000C225D">
            <w:pPr>
              <w:spacing w:after="0"/>
              <w:rPr>
                <w:sz w:val="20"/>
              </w:rPr>
            </w:pPr>
            <w:r w:rsidRPr="005669B3">
              <w:rPr>
                <w:sz w:val="20"/>
              </w:rPr>
              <w:t>Our assessment of the reasons for these outcomes points primarily to Covid-19 impact, which disrupted all our subject areas to varying d</w:t>
            </w:r>
            <w:r w:rsidR="005669B3">
              <w:rPr>
                <w:sz w:val="20"/>
              </w:rPr>
              <w:t xml:space="preserve">egrees. As evidenced in schools </w:t>
            </w:r>
            <w:r w:rsidRPr="005669B3">
              <w:rPr>
                <w:sz w:val="20"/>
              </w:rPr>
              <w:t>across the country, school closure was most detrimental to our disadvantaged pupil</w:t>
            </w:r>
            <w:r w:rsidR="005669B3">
              <w:rPr>
                <w:sz w:val="20"/>
              </w:rPr>
              <w:t xml:space="preserve">s, </w:t>
            </w:r>
            <w:r w:rsidRPr="005669B3">
              <w:rPr>
                <w:sz w:val="20"/>
              </w:rPr>
              <w:t xml:space="preserve">they were not able to benefit from our pupil premium funded improvements to </w:t>
            </w:r>
            <w:r w:rsidR="00923044" w:rsidRPr="005669B3">
              <w:rPr>
                <w:sz w:val="20"/>
              </w:rPr>
              <w:t xml:space="preserve">teaching </w:t>
            </w:r>
            <w:r w:rsidRPr="005669B3">
              <w:rPr>
                <w:sz w:val="20"/>
              </w:rPr>
              <w:t xml:space="preserve">and targeted interventions to the degree we had intended. The impact was mitigated by our resolution to maintain a high quality curriculum, including during periods of partial closure, which was aided by both live and recorded lessons by teachers, targeted interventions via teams across the school and supplemented with online materials like those published from Oak National. </w:t>
            </w:r>
          </w:p>
          <w:p w14:paraId="584A3148" w14:textId="7BA8C0DC" w:rsidR="00923044" w:rsidRPr="005669B3" w:rsidRDefault="00923044" w:rsidP="000C225D">
            <w:pPr>
              <w:spacing w:after="0"/>
              <w:rPr>
                <w:sz w:val="20"/>
              </w:rPr>
            </w:pPr>
          </w:p>
          <w:p w14:paraId="13FBC4B7" w14:textId="3962404F" w:rsidR="00923044" w:rsidRPr="005669B3" w:rsidRDefault="005669B3" w:rsidP="000C225D">
            <w:pPr>
              <w:spacing w:after="0"/>
              <w:rPr>
                <w:sz w:val="20"/>
              </w:rPr>
            </w:pPr>
            <w:r w:rsidRPr="005669B3">
              <w:rPr>
                <w:sz w:val="20"/>
              </w:rPr>
              <w:t xml:space="preserve">Although overall attendance during 2020/21 was significantly impacted by the Covid 19 pandemic, the strategies and approaches we implemented last academic year did prove effective. Persistent absenteeism in the Autumn term 2020 had reduced 5.5% when compared to the Autumn term 2019. By the end of the summer term 2020 persistent absenteeism for pupil premium pupils had reduced to 11.5% compared to 25.1% at the end 2019. Our initial target for this group of pupils was 10%, which is why attendance still forms a key part of this current plan. </w:t>
            </w:r>
          </w:p>
          <w:p w14:paraId="4D9CE9AD" w14:textId="0A9A5168" w:rsidR="00923044" w:rsidRPr="005669B3" w:rsidRDefault="00923044" w:rsidP="000C225D">
            <w:pPr>
              <w:spacing w:after="0"/>
              <w:rPr>
                <w:sz w:val="20"/>
              </w:rPr>
            </w:pPr>
          </w:p>
          <w:p w14:paraId="2A7D5546" w14:textId="0600D986" w:rsidR="00E66558" w:rsidRPr="000C225D" w:rsidRDefault="000C225D" w:rsidP="000C225D">
            <w:pPr>
              <w:spacing w:before="120"/>
              <w:rPr>
                <w:i/>
              </w:rPr>
            </w:pPr>
            <w:r w:rsidRPr="005669B3">
              <w:rPr>
                <w:sz w:val="20"/>
              </w:rPr>
              <w:t xml:space="preserve">Our assessments and observations indicated that pupil behaviour, wellbeing and mental health were significantly impacted last year, primarily due to COVID-19-related issues. The impact was particularly acute for disadvantaged pupils. We used pupil premium funding to provide wellbeing support for all pupils, and targeted interventions where required. We are building on that approach with the activities detailed in this </w:t>
            </w:r>
            <w:r w:rsidR="005669B3" w:rsidRPr="005669B3">
              <w:rPr>
                <w:sz w:val="20"/>
              </w:rPr>
              <w:t>plan in order to establish the Priestsic Pastoral Package.</w:t>
            </w:r>
            <w:r w:rsidR="005669B3" w:rsidRPr="005669B3">
              <w:rPr>
                <w:i/>
                <w:sz w:val="20"/>
              </w:rPr>
              <w:t xml:space="preser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05CC955" w:rsidR="00E66558" w:rsidRDefault="00211B91">
            <w:pPr>
              <w:pStyle w:val="TableRow"/>
            </w:pPr>
            <w:r>
              <w:t>Third Space Maths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8B1EDA2" w:rsidR="00E66558" w:rsidRDefault="00211B91">
            <w:pPr>
              <w:pStyle w:val="TableRowCentered"/>
              <w:jc w:val="left"/>
            </w:pPr>
            <w:r>
              <w:t>NTP</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1FCF24A" w:rsidR="00E66558" w:rsidRDefault="000C225D">
            <w:pPr>
              <w:pStyle w:val="TableRow"/>
            </w:pPr>
            <w:r>
              <w:t>Forest School Provision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332B238" w:rsidR="00E66558" w:rsidRDefault="000C225D">
            <w:pPr>
              <w:pStyle w:val="TableRowCentered"/>
              <w:jc w:val="left"/>
            </w:pPr>
            <w:r>
              <w:t>Bagthorpe Primary School</w:t>
            </w:r>
          </w:p>
        </w:tc>
      </w:tr>
      <w:tr w:rsidR="000C225D" w14:paraId="101BFEC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3B7A" w14:textId="3F57853A" w:rsidR="000C225D" w:rsidRDefault="000C225D">
            <w:pPr>
              <w:pStyle w:val="TableRow"/>
            </w:pPr>
            <w:r>
              <w:t>Tuition in KS1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493EF" w14:textId="0A456176" w:rsidR="000C225D" w:rsidRDefault="000C225D">
            <w:pPr>
              <w:pStyle w:val="TableRowCentered"/>
              <w:jc w:val="left"/>
            </w:pPr>
            <w:r>
              <w:t xml:space="preserve">NTP </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headerReference w:type="default" r:id="rId22"/>
      <w:footerReference w:type="default" r:id="rId2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49C17" w14:textId="77777777" w:rsidR="00C23ABE" w:rsidRDefault="00C23ABE">
      <w:pPr>
        <w:spacing w:after="0" w:line="240" w:lineRule="auto"/>
      </w:pPr>
      <w:r>
        <w:separator/>
      </w:r>
    </w:p>
  </w:endnote>
  <w:endnote w:type="continuationSeparator" w:id="0">
    <w:p w14:paraId="3CD4744F" w14:textId="77777777" w:rsidR="00C23ABE" w:rsidRDefault="00C2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F700D8C" w:rsidR="00583C85" w:rsidRDefault="00583C85">
    <w:pPr>
      <w:pStyle w:val="Footer"/>
      <w:ind w:firstLine="4513"/>
    </w:pPr>
    <w:r>
      <w:fldChar w:fldCharType="begin"/>
    </w:r>
    <w:r>
      <w:instrText xml:space="preserve"> PAGE </w:instrText>
    </w:r>
    <w:r>
      <w:fldChar w:fldCharType="separate"/>
    </w:r>
    <w:r w:rsidR="00C23AB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1A16C" w14:textId="77777777" w:rsidR="00C23ABE" w:rsidRDefault="00C23ABE">
      <w:pPr>
        <w:spacing w:after="0" w:line="240" w:lineRule="auto"/>
      </w:pPr>
      <w:r>
        <w:separator/>
      </w:r>
    </w:p>
  </w:footnote>
  <w:footnote w:type="continuationSeparator" w:id="0">
    <w:p w14:paraId="0662FC54" w14:textId="77777777" w:rsidR="00C23ABE" w:rsidRDefault="00C23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83C85" w:rsidRDefault="00583C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037D36"/>
    <w:multiLevelType w:val="hybridMultilevel"/>
    <w:tmpl w:val="B2D8853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1FB4C61"/>
    <w:multiLevelType w:val="hybridMultilevel"/>
    <w:tmpl w:val="CDD02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A42B61"/>
    <w:multiLevelType w:val="multilevel"/>
    <w:tmpl w:val="E97C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DB0738A"/>
    <w:multiLevelType w:val="hybridMultilevel"/>
    <w:tmpl w:val="71DEF4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74E44"/>
    <w:multiLevelType w:val="hybridMultilevel"/>
    <w:tmpl w:val="92845F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37ACA"/>
    <w:multiLevelType w:val="hybridMultilevel"/>
    <w:tmpl w:val="BCFEF4E6"/>
    <w:lvl w:ilvl="0" w:tplc="8C6A5C6C">
      <w:start w:val="3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EDA3B94"/>
    <w:multiLevelType w:val="hybridMultilevel"/>
    <w:tmpl w:val="AC78E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FD11E3"/>
    <w:multiLevelType w:val="hybridMultilevel"/>
    <w:tmpl w:val="ABCC3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432DE7"/>
    <w:multiLevelType w:val="multilevel"/>
    <w:tmpl w:val="459E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0F55D15"/>
    <w:multiLevelType w:val="hybridMultilevel"/>
    <w:tmpl w:val="FAC4BFEA"/>
    <w:lvl w:ilvl="0" w:tplc="8C6A5C6C">
      <w:start w:val="3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63C78"/>
    <w:multiLevelType w:val="hybridMultilevel"/>
    <w:tmpl w:val="18306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A5E5B9A"/>
    <w:multiLevelType w:val="hybridMultilevel"/>
    <w:tmpl w:val="F1D2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442BB4"/>
    <w:multiLevelType w:val="hybridMultilevel"/>
    <w:tmpl w:val="BE7E6B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3793D97"/>
    <w:multiLevelType w:val="multilevel"/>
    <w:tmpl w:val="3A4AB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62AD9"/>
    <w:multiLevelType w:val="hybridMultilevel"/>
    <w:tmpl w:val="000ACF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7"/>
  </w:num>
  <w:num w:numId="4">
    <w:abstractNumId w:val="9"/>
  </w:num>
  <w:num w:numId="5">
    <w:abstractNumId w:val="0"/>
  </w:num>
  <w:num w:numId="6">
    <w:abstractNumId w:val="13"/>
  </w:num>
  <w:num w:numId="7">
    <w:abstractNumId w:val="21"/>
  </w:num>
  <w:num w:numId="8">
    <w:abstractNumId w:val="29"/>
  </w:num>
  <w:num w:numId="9">
    <w:abstractNumId w:val="25"/>
  </w:num>
  <w:num w:numId="10">
    <w:abstractNumId w:val="23"/>
  </w:num>
  <w:num w:numId="11">
    <w:abstractNumId w:val="3"/>
  </w:num>
  <w:num w:numId="12">
    <w:abstractNumId w:val="26"/>
  </w:num>
  <w:num w:numId="13">
    <w:abstractNumId w:val="17"/>
  </w:num>
  <w:num w:numId="14">
    <w:abstractNumId w:val="19"/>
  </w:num>
  <w:num w:numId="15">
    <w:abstractNumId w:val="16"/>
  </w:num>
  <w:num w:numId="16">
    <w:abstractNumId w:val="10"/>
  </w:num>
  <w:num w:numId="17">
    <w:abstractNumId w:val="11"/>
  </w:num>
  <w:num w:numId="18">
    <w:abstractNumId w:val="8"/>
  </w:num>
  <w:num w:numId="19">
    <w:abstractNumId w:val="27"/>
  </w:num>
  <w:num w:numId="20">
    <w:abstractNumId w:val="28"/>
  </w:num>
  <w:num w:numId="21">
    <w:abstractNumId w:val="6"/>
  </w:num>
  <w:num w:numId="22">
    <w:abstractNumId w:val="22"/>
  </w:num>
  <w:num w:numId="23">
    <w:abstractNumId w:val="18"/>
  </w:num>
  <w:num w:numId="24">
    <w:abstractNumId w:val="1"/>
  </w:num>
  <w:num w:numId="25">
    <w:abstractNumId w:val="24"/>
  </w:num>
  <w:num w:numId="26">
    <w:abstractNumId w:val="4"/>
  </w:num>
  <w:num w:numId="27">
    <w:abstractNumId w:val="12"/>
  </w:num>
  <w:num w:numId="28">
    <w:abstractNumId w:val="14"/>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1AD1"/>
    <w:rsid w:val="00066B73"/>
    <w:rsid w:val="0009323A"/>
    <w:rsid w:val="000A3AA9"/>
    <w:rsid w:val="000B0690"/>
    <w:rsid w:val="000C225D"/>
    <w:rsid w:val="000E33FE"/>
    <w:rsid w:val="000E4861"/>
    <w:rsid w:val="000F2F63"/>
    <w:rsid w:val="00110FEF"/>
    <w:rsid w:val="00112856"/>
    <w:rsid w:val="00120AB1"/>
    <w:rsid w:val="001A6188"/>
    <w:rsid w:val="001F45CF"/>
    <w:rsid w:val="001F5BED"/>
    <w:rsid w:val="00211B91"/>
    <w:rsid w:val="002A6C10"/>
    <w:rsid w:val="002C4067"/>
    <w:rsid w:val="002E531C"/>
    <w:rsid w:val="00305C55"/>
    <w:rsid w:val="00350E31"/>
    <w:rsid w:val="00382EF4"/>
    <w:rsid w:val="003D17B2"/>
    <w:rsid w:val="003E66A5"/>
    <w:rsid w:val="003F59F3"/>
    <w:rsid w:val="00400570"/>
    <w:rsid w:val="004044AA"/>
    <w:rsid w:val="00447CF0"/>
    <w:rsid w:val="00481A0B"/>
    <w:rsid w:val="004F3CFA"/>
    <w:rsid w:val="00512FAB"/>
    <w:rsid w:val="00523B76"/>
    <w:rsid w:val="00546C9F"/>
    <w:rsid w:val="005629FF"/>
    <w:rsid w:val="005669B3"/>
    <w:rsid w:val="005821C5"/>
    <w:rsid w:val="00583C85"/>
    <w:rsid w:val="005A3B30"/>
    <w:rsid w:val="005C16B5"/>
    <w:rsid w:val="005C4B4B"/>
    <w:rsid w:val="005F14DA"/>
    <w:rsid w:val="005F3A95"/>
    <w:rsid w:val="00601EA7"/>
    <w:rsid w:val="006021E7"/>
    <w:rsid w:val="0062536B"/>
    <w:rsid w:val="00690686"/>
    <w:rsid w:val="006B039E"/>
    <w:rsid w:val="006B17B8"/>
    <w:rsid w:val="006E7FB1"/>
    <w:rsid w:val="00705E9E"/>
    <w:rsid w:val="00735105"/>
    <w:rsid w:val="00741671"/>
    <w:rsid w:val="00741B9E"/>
    <w:rsid w:val="00750ED7"/>
    <w:rsid w:val="00791342"/>
    <w:rsid w:val="0079292A"/>
    <w:rsid w:val="007B2319"/>
    <w:rsid w:val="007C2F04"/>
    <w:rsid w:val="007E42DA"/>
    <w:rsid w:val="007F0F06"/>
    <w:rsid w:val="00824073"/>
    <w:rsid w:val="00843239"/>
    <w:rsid w:val="008A30B1"/>
    <w:rsid w:val="0091727F"/>
    <w:rsid w:val="00923044"/>
    <w:rsid w:val="009B5640"/>
    <w:rsid w:val="009D176E"/>
    <w:rsid w:val="009D71E8"/>
    <w:rsid w:val="00A46F75"/>
    <w:rsid w:val="00A62B55"/>
    <w:rsid w:val="00A7219B"/>
    <w:rsid w:val="00A80530"/>
    <w:rsid w:val="00AD1778"/>
    <w:rsid w:val="00AE4F4B"/>
    <w:rsid w:val="00AF75CE"/>
    <w:rsid w:val="00AF7713"/>
    <w:rsid w:val="00B5451A"/>
    <w:rsid w:val="00BA70EA"/>
    <w:rsid w:val="00C23ABE"/>
    <w:rsid w:val="00CC4D0E"/>
    <w:rsid w:val="00D33FE5"/>
    <w:rsid w:val="00D34C8E"/>
    <w:rsid w:val="00D67EBA"/>
    <w:rsid w:val="00D74AAD"/>
    <w:rsid w:val="00E1084B"/>
    <w:rsid w:val="00E270D1"/>
    <w:rsid w:val="00E66558"/>
    <w:rsid w:val="00E779ED"/>
    <w:rsid w:val="00EE4F22"/>
    <w:rsid w:val="00EF3D61"/>
    <w:rsid w:val="00F10736"/>
    <w:rsid w:val="00F12141"/>
    <w:rsid w:val="00F342D7"/>
    <w:rsid w:val="00F56747"/>
    <w:rsid w:val="00F70901"/>
    <w:rsid w:val="00FA615B"/>
    <w:rsid w:val="00FE7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001AD1"/>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3F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74988">
      <w:bodyDiv w:val="1"/>
      <w:marLeft w:val="0"/>
      <w:marRight w:val="0"/>
      <w:marTop w:val="0"/>
      <w:marBottom w:val="0"/>
      <w:divBdr>
        <w:top w:val="none" w:sz="0" w:space="0" w:color="auto"/>
        <w:left w:val="none" w:sz="0" w:space="0" w:color="auto"/>
        <w:bottom w:val="none" w:sz="0" w:space="0" w:color="auto"/>
        <w:right w:val="none" w:sz="0" w:space="0" w:color="auto"/>
      </w:divBdr>
    </w:div>
    <w:div w:id="139678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educationendowmentfoundation.org.uk/public/files/Publications/SEL/EEF_Social_and_Emotional_Learning.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284286/reading_for_pleasure.pdf"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educationendowmentfoundation.org.uk/education-evidence/guidance-reports/literacy-ks-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educationendowmentfoundation.org.uk/public/files/Publications/SEL/EEF_Social_and_Emotional_Learning.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support-for-schools/school-improvement-planning/1-high-quality-teach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phonics" TargetMode="External"/><Relationship Id="rId23" Type="http://schemas.openxmlformats.org/officeDocument/2006/relationships/footer" Target="footer1.xml"/><Relationship Id="rId10" Type="http://schemas.openxmlformats.org/officeDocument/2006/relationships/hyperlink" Target="https://educationendowmentfoundation.org.uk/support-for-schools/school-improvement-planning/1-high-quality-teaching" TargetMode="External"/><Relationship Id="rId19" Type="http://schemas.openxmlformats.org/officeDocument/2006/relationships/hyperlink" Target="https://www.gov.uk/government/publications/school-attendance/framework-for-securing-full-attendance-actions-for-schools-and-local-author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literacy-ks-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5FD2749E7FE4CAC2E16217B0DB891" ma:contentTypeVersion="10" ma:contentTypeDescription="Create a new document." ma:contentTypeScope="" ma:versionID="ef081b28660f977e14604383d9d7d941">
  <xsd:schema xmlns:xsd="http://www.w3.org/2001/XMLSchema" xmlns:xs="http://www.w3.org/2001/XMLSchema" xmlns:p="http://schemas.microsoft.com/office/2006/metadata/properties" xmlns:ns3="96995172-bdc9-49ae-bae9-5fbf77f97ea4" targetNamespace="http://schemas.microsoft.com/office/2006/metadata/properties" ma:root="true" ma:fieldsID="b1d089bcfcca1c957c59ce270e70b21f" ns3:_="">
    <xsd:import namespace="96995172-bdc9-49ae-bae9-5fbf77f97e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95172-bdc9-49ae-bae9-5fbf77f97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5D0D7-71D6-46B4-815E-7684A52207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32376B-04C7-4C64-A85D-B22A6F37DB23}">
  <ds:schemaRefs>
    <ds:schemaRef ds:uri="http://schemas.microsoft.com/sharepoint/v3/contenttype/forms"/>
  </ds:schemaRefs>
</ds:datastoreItem>
</file>

<file path=customXml/itemProps3.xml><?xml version="1.0" encoding="utf-8"?>
<ds:datastoreItem xmlns:ds="http://schemas.openxmlformats.org/officeDocument/2006/customXml" ds:itemID="{069DD55E-684D-4ECC-8EA1-F8EBCE38D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95172-bdc9-49ae-bae9-5fbf77f97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4878</Words>
  <Characters>27811</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DfE external document template</vt:lpstr>
      <vt:lpstr>Pupil premium strategy statement 2021-2022</vt:lpstr>
      <vt:lpstr>    This statement details our school’s use of pupil premium (and recovery premium f</vt:lpstr>
      <vt:lpstr>    It outlines our pupil premium strategy, how we intend to spend the funding in th</vt:lpstr>
      <vt:lpstr>    School overview</vt:lpstr>
      <vt:lpstr>Part A: Pupil premium strategy plan</vt:lpstr>
      <vt:lpstr>    Statement of intent</vt:lpstr>
      <vt:lpstr>    Challenges</vt:lpstr>
      <vt:lpstr>This details the key challenges to achievement that we have identified among our</vt:lpstr>
      <vt:lpstr>    Intended outcomes </vt:lpstr>
      <vt:lpstr>    </vt:lpstr>
      <vt:lpstr>    Activity in this academic year</vt:lpstr>
      <vt:lpstr>        Teaching (for example, CPD, recruitment and retention)</vt:lpstr>
      <vt:lpstr>    </vt:lpstr>
      <vt:lpstr>Part B: Review of outcomes in the previous academic year</vt:lpstr>
      <vt:lpstr>    Pupil premium strategy outcomes</vt:lpstr>
      <vt:lpstr>    Externally provided programmes</vt:lpstr>
      <vt:lpstr>    Service pupil premium funding (optional)</vt:lpstr>
      <vt:lpstr>Further information (optional)</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Joanne Small</cp:lastModifiedBy>
  <cp:revision>2</cp:revision>
  <cp:lastPrinted>2022-05-23T11:41:00Z</cp:lastPrinted>
  <dcterms:created xsi:type="dcterms:W3CDTF">2022-05-23T12:13:00Z</dcterms:created>
  <dcterms:modified xsi:type="dcterms:W3CDTF">2022-05-23T12:13:00Z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0x0101000975FD2749E7FE4CAC2E16217B0DB891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